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D85C8" w14:textId="72951A02" w:rsidR="006266C6" w:rsidRPr="002F7A7A" w:rsidRDefault="006266C6">
      <w:pPr>
        <w:rPr>
          <w:rFonts w:ascii="Arial" w:hAnsi="Arial"/>
        </w:rPr>
      </w:pPr>
      <w:r w:rsidRPr="008C0FEB">
        <w:rPr>
          <w:rFonts w:ascii="Arial" w:hAnsi="Arial" w:cs="Arial"/>
          <w:sz w:val="22"/>
          <w:szCs w:val="22"/>
        </w:rPr>
        <w:t>Stuart B. Goodman is the Robert L. and Mary Ellenburg Professor of Surgery, and Professor with Tenure in the Department of Orthopaedic Surgery</w:t>
      </w:r>
      <w:r>
        <w:rPr>
          <w:rFonts w:ascii="Arial" w:hAnsi="Arial" w:cs="Arial"/>
          <w:sz w:val="22"/>
          <w:szCs w:val="22"/>
        </w:rPr>
        <w:t xml:space="preserve"> and has a </w:t>
      </w:r>
      <w:r w:rsidRPr="00E46CB2">
        <w:rPr>
          <w:rFonts w:ascii="Arial" w:hAnsi="Arial"/>
          <w:color w:val="000000"/>
        </w:rPr>
        <w:t>courtesy appointment in the Department of Bioengineering</w:t>
      </w:r>
      <w:r w:rsidRPr="008C0FEB">
        <w:rPr>
          <w:rFonts w:ascii="Arial" w:hAnsi="Arial" w:cs="Arial"/>
          <w:sz w:val="22"/>
          <w:szCs w:val="22"/>
        </w:rPr>
        <w:t xml:space="preserve"> at Stanford University. </w:t>
      </w:r>
      <w:r w:rsidRPr="00E46CB2">
        <w:rPr>
          <w:rFonts w:ascii="Arial" w:hAnsi="Arial"/>
          <w:color w:val="000000"/>
        </w:rPr>
        <w:t>He was Chief of Orthopaedic Surgery</w:t>
      </w:r>
      <w:r>
        <w:rPr>
          <w:rFonts w:ascii="Arial" w:hAnsi="Arial"/>
          <w:color w:val="000000"/>
        </w:rPr>
        <w:t xml:space="preserve"> at Stanford University</w:t>
      </w:r>
      <w:r w:rsidRPr="00E46CB2">
        <w:rPr>
          <w:rFonts w:ascii="Arial" w:hAnsi="Arial"/>
          <w:color w:val="000000"/>
        </w:rPr>
        <w:t xml:space="preserve"> from 1994-2002.  His clinical research interests center on the outcome of surgery for arthritis including primary and revision total joint replacement, juvenile arthritis, and osteonecrosis of the hip and knee.  His basic science interests center on biocompatibility of orthopaedic implants, </w:t>
      </w:r>
      <w:r>
        <w:rPr>
          <w:rFonts w:ascii="Arial" w:hAnsi="Arial"/>
          <w:color w:val="000000"/>
        </w:rPr>
        <w:t xml:space="preserve">inflammation </w:t>
      </w:r>
      <w:r w:rsidRPr="00E46CB2">
        <w:rPr>
          <w:rFonts w:ascii="Arial" w:hAnsi="Arial"/>
          <w:color w:val="000000"/>
        </w:rPr>
        <w:t xml:space="preserve">and musculoskeletal tissue regeneration and repair.  </w:t>
      </w:r>
      <w:r>
        <w:rPr>
          <w:rFonts w:ascii="Arial" w:hAnsi="Arial"/>
          <w:color w:val="000000"/>
        </w:rPr>
        <w:t>Dr. Goodman’s laboratory examines crosstalk between mesenchymal and immune lineage cells in inflammatory environments in vitro and in vivo, using advanced cellular, molecular, single cell, and imaging techniques.</w:t>
      </w:r>
      <w:r w:rsidRPr="008C0FEB">
        <w:rPr>
          <w:rFonts w:ascii="Arial" w:hAnsi="Arial" w:cs="Arial"/>
          <w:sz w:val="22"/>
          <w:szCs w:val="22"/>
        </w:rPr>
        <w:t xml:space="preserve"> </w:t>
      </w:r>
      <w:r w:rsidRPr="00E46CB2">
        <w:rPr>
          <w:rFonts w:ascii="Arial" w:hAnsi="Arial"/>
          <w:color w:val="000000"/>
        </w:rPr>
        <w:t>He is a m</w:t>
      </w:r>
      <w:r>
        <w:rPr>
          <w:rFonts w:ascii="Arial" w:hAnsi="Arial"/>
          <w:color w:val="000000"/>
        </w:rPr>
        <w:t>ember of the American, European, and International Hip Societies,</w:t>
      </w:r>
      <w:r w:rsidRPr="00E46CB2">
        <w:rPr>
          <w:rFonts w:ascii="Arial" w:hAnsi="Arial"/>
          <w:color w:val="000000"/>
        </w:rPr>
        <w:t xml:space="preserve"> Knee Society</w:t>
      </w:r>
      <w:r>
        <w:rPr>
          <w:rFonts w:ascii="Arial" w:hAnsi="Arial"/>
          <w:color w:val="000000"/>
        </w:rPr>
        <w:t>,</w:t>
      </w:r>
      <w:r w:rsidRPr="00E46CB2">
        <w:rPr>
          <w:rFonts w:ascii="Arial" w:hAnsi="Arial"/>
          <w:color w:val="000000"/>
        </w:rPr>
        <w:t xml:space="preserve"> AAHKS</w:t>
      </w:r>
      <w:r>
        <w:rPr>
          <w:rFonts w:ascii="Arial" w:hAnsi="Arial"/>
          <w:color w:val="000000"/>
        </w:rPr>
        <w:t>,</w:t>
      </w:r>
      <w:r w:rsidRPr="00E46CB2">
        <w:rPr>
          <w:rFonts w:ascii="Arial" w:hAnsi="Arial"/>
          <w:color w:val="000000"/>
        </w:rPr>
        <w:t xml:space="preserve"> a consultant to the FDA, and former vice-chairman of the Musculoskeletal Tissue Engineering study section at NIH. He </w:t>
      </w:r>
      <w:r w:rsidR="002F7A7A">
        <w:rPr>
          <w:rFonts w:ascii="Arial" w:hAnsi="Arial"/>
          <w:color w:val="000000"/>
        </w:rPr>
        <w:t>is former</w:t>
      </w:r>
      <w:r w:rsidRPr="00E46CB2">
        <w:rPr>
          <w:rFonts w:ascii="Arial" w:hAnsi="Arial"/>
          <w:color w:val="000000"/>
        </w:rPr>
        <w:t xml:space="preserve"> President of the Society For Biomaterials</w:t>
      </w:r>
      <w:r>
        <w:rPr>
          <w:rFonts w:ascii="Arial" w:hAnsi="Arial"/>
          <w:color w:val="000000"/>
        </w:rPr>
        <w:t xml:space="preserve"> and is the current President of the Association Research Circulation Osseous (ARCO).  </w:t>
      </w:r>
      <w:r w:rsidRPr="00E46CB2">
        <w:rPr>
          <w:rFonts w:ascii="Arial" w:hAnsi="Arial"/>
          <w:color w:val="000000"/>
        </w:rPr>
        <w:t xml:space="preserve">Dr. Goodman </w:t>
      </w:r>
      <w:r>
        <w:rPr>
          <w:rFonts w:ascii="Arial" w:hAnsi="Arial"/>
          <w:color w:val="000000"/>
        </w:rPr>
        <w:t>is a</w:t>
      </w:r>
      <w:r w:rsidRPr="00E46CB2">
        <w:rPr>
          <w:rFonts w:ascii="Arial" w:hAnsi="Arial"/>
          <w:color w:val="000000"/>
        </w:rPr>
        <w:t xml:space="preserve"> Fellow</w:t>
      </w:r>
      <w:r>
        <w:rPr>
          <w:rFonts w:ascii="Arial" w:hAnsi="Arial"/>
          <w:color w:val="000000"/>
        </w:rPr>
        <w:t xml:space="preserve"> in numerous institutions:</w:t>
      </w:r>
      <w:r w:rsidRPr="00E46CB2">
        <w:rPr>
          <w:rFonts w:ascii="Arial" w:hAnsi="Arial"/>
          <w:color w:val="000000"/>
        </w:rPr>
        <w:t xml:space="preserve"> International Union of Societies, Biomaterials Science and Engineering, Japanese Society of the P</w:t>
      </w:r>
      <w:r>
        <w:rPr>
          <w:rFonts w:ascii="Arial" w:hAnsi="Arial"/>
          <w:color w:val="000000"/>
        </w:rPr>
        <w:t>romotion of Science,</w:t>
      </w:r>
      <w:r w:rsidRPr="00E46CB2">
        <w:rPr>
          <w:rFonts w:ascii="Arial" w:hAnsi="Arial"/>
          <w:color w:val="000000"/>
        </w:rPr>
        <w:t xml:space="preserve"> American Institute of Medical and Biological Engineers</w:t>
      </w:r>
      <w:r>
        <w:rPr>
          <w:rFonts w:ascii="Arial" w:hAnsi="Arial"/>
          <w:color w:val="000000"/>
        </w:rPr>
        <w:t xml:space="preserve">, International Combined Orthopaedic Research Societies, and the Orthopaedic Research Society, honorary fellow of </w:t>
      </w:r>
      <w:r w:rsidRPr="004161D6">
        <w:rPr>
          <w:rFonts w:ascii="Arial" w:hAnsi="Arial"/>
          <w:color w:val="000000"/>
        </w:rPr>
        <w:t>The European Federation of National Associations of Orthopaedics and</w:t>
      </w:r>
      <w:r>
        <w:rPr>
          <w:rFonts w:ascii="Arial" w:hAnsi="Arial"/>
          <w:color w:val="000000"/>
        </w:rPr>
        <w:t xml:space="preserve"> </w:t>
      </w:r>
      <w:r w:rsidRPr="004161D6">
        <w:rPr>
          <w:rFonts w:ascii="Arial" w:hAnsi="Arial"/>
          <w:color w:val="000000"/>
        </w:rPr>
        <w:t>Traumatology (EFORT)</w:t>
      </w:r>
      <w:r>
        <w:rPr>
          <w:rFonts w:ascii="Arial" w:hAnsi="Arial"/>
          <w:color w:val="000000"/>
        </w:rPr>
        <w:t>. He was a council member of the NIH National Institute of Arthritis, Musculoskeletal and Skin Diseases.</w:t>
      </w:r>
      <w:r w:rsidRPr="00E46CB2">
        <w:rPr>
          <w:rFonts w:ascii="Arial" w:hAnsi="Arial"/>
          <w:color w:val="000000"/>
        </w:rPr>
        <w:t xml:space="preserve"> </w:t>
      </w:r>
      <w:r>
        <w:rPr>
          <w:rFonts w:ascii="Arial" w:hAnsi="Arial"/>
          <w:color w:val="000000"/>
        </w:rPr>
        <w:t>He</w:t>
      </w:r>
      <w:r w:rsidRPr="00E46CB2">
        <w:rPr>
          <w:rFonts w:ascii="Arial" w:hAnsi="Arial"/>
          <w:color w:val="000000"/>
        </w:rPr>
        <w:t xml:space="preserve"> has published </w:t>
      </w:r>
      <w:r>
        <w:rPr>
          <w:rFonts w:ascii="Arial" w:hAnsi="Arial"/>
          <w:color w:val="000000"/>
        </w:rPr>
        <w:t>over 6</w:t>
      </w:r>
      <w:r w:rsidR="006D0A03">
        <w:rPr>
          <w:rFonts w:ascii="Arial" w:hAnsi="Arial"/>
          <w:color w:val="000000"/>
        </w:rPr>
        <w:t>6</w:t>
      </w:r>
      <w:r>
        <w:rPr>
          <w:rFonts w:ascii="Arial" w:hAnsi="Arial"/>
          <w:color w:val="000000"/>
        </w:rPr>
        <w:t>0</w:t>
      </w:r>
      <w:r w:rsidRPr="00E46CB2">
        <w:rPr>
          <w:rFonts w:ascii="Arial" w:hAnsi="Arial"/>
          <w:color w:val="000000"/>
        </w:rPr>
        <w:t xml:space="preserve"> peer-reviewed </w:t>
      </w:r>
      <w:r w:rsidR="002D69EC">
        <w:rPr>
          <w:rFonts w:ascii="Arial" w:hAnsi="Arial"/>
          <w:color w:val="000000"/>
        </w:rPr>
        <w:t>manuscripts</w:t>
      </w:r>
      <w:r w:rsidRPr="00E46CB2">
        <w:rPr>
          <w:rFonts w:ascii="Arial" w:hAnsi="Arial"/>
          <w:color w:val="000000"/>
        </w:rPr>
        <w:t>.</w:t>
      </w:r>
    </w:p>
    <w:sectPr w:rsidR="006266C6" w:rsidRPr="002F7A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6C6"/>
    <w:rsid w:val="00005D98"/>
    <w:rsid w:val="00067DDE"/>
    <w:rsid w:val="00121DA3"/>
    <w:rsid w:val="00124A66"/>
    <w:rsid w:val="00153F14"/>
    <w:rsid w:val="00160690"/>
    <w:rsid w:val="001721E3"/>
    <w:rsid w:val="00190089"/>
    <w:rsid w:val="001955A2"/>
    <w:rsid w:val="001A35AC"/>
    <w:rsid w:val="00211276"/>
    <w:rsid w:val="00214EC5"/>
    <w:rsid w:val="002362FF"/>
    <w:rsid w:val="002869D2"/>
    <w:rsid w:val="002B3D00"/>
    <w:rsid w:val="002D0AFF"/>
    <w:rsid w:val="002D69EC"/>
    <w:rsid w:val="002F7A7A"/>
    <w:rsid w:val="003014D2"/>
    <w:rsid w:val="00331ED1"/>
    <w:rsid w:val="003A6C26"/>
    <w:rsid w:val="003D4223"/>
    <w:rsid w:val="003F54B4"/>
    <w:rsid w:val="00440B5C"/>
    <w:rsid w:val="0046235B"/>
    <w:rsid w:val="004A5835"/>
    <w:rsid w:val="004E5D1F"/>
    <w:rsid w:val="0051774C"/>
    <w:rsid w:val="005608D4"/>
    <w:rsid w:val="005A7A4E"/>
    <w:rsid w:val="00600242"/>
    <w:rsid w:val="006266C6"/>
    <w:rsid w:val="0065501B"/>
    <w:rsid w:val="00676E58"/>
    <w:rsid w:val="006C15A8"/>
    <w:rsid w:val="006D0A03"/>
    <w:rsid w:val="006D2A28"/>
    <w:rsid w:val="006F1939"/>
    <w:rsid w:val="00703CF1"/>
    <w:rsid w:val="00766DCA"/>
    <w:rsid w:val="007A7BD6"/>
    <w:rsid w:val="007B6B4C"/>
    <w:rsid w:val="00811B5C"/>
    <w:rsid w:val="00823A56"/>
    <w:rsid w:val="00824BCE"/>
    <w:rsid w:val="00835E92"/>
    <w:rsid w:val="00837241"/>
    <w:rsid w:val="00840276"/>
    <w:rsid w:val="0085695C"/>
    <w:rsid w:val="008723AB"/>
    <w:rsid w:val="008A644D"/>
    <w:rsid w:val="008B0540"/>
    <w:rsid w:val="008C1E70"/>
    <w:rsid w:val="008E120C"/>
    <w:rsid w:val="008E736E"/>
    <w:rsid w:val="008E78B3"/>
    <w:rsid w:val="008F285F"/>
    <w:rsid w:val="009507E9"/>
    <w:rsid w:val="00974799"/>
    <w:rsid w:val="00983C29"/>
    <w:rsid w:val="009B64D8"/>
    <w:rsid w:val="009B6C1B"/>
    <w:rsid w:val="009D0153"/>
    <w:rsid w:val="009E4787"/>
    <w:rsid w:val="00A47978"/>
    <w:rsid w:val="00A643C0"/>
    <w:rsid w:val="00A66E2E"/>
    <w:rsid w:val="00AC1D15"/>
    <w:rsid w:val="00AC4078"/>
    <w:rsid w:val="00AC5348"/>
    <w:rsid w:val="00AE096D"/>
    <w:rsid w:val="00AE2C24"/>
    <w:rsid w:val="00B00868"/>
    <w:rsid w:val="00B072C2"/>
    <w:rsid w:val="00B276CD"/>
    <w:rsid w:val="00B42FE9"/>
    <w:rsid w:val="00B8284B"/>
    <w:rsid w:val="00BA3C22"/>
    <w:rsid w:val="00BD6703"/>
    <w:rsid w:val="00BE762C"/>
    <w:rsid w:val="00BF5530"/>
    <w:rsid w:val="00C11077"/>
    <w:rsid w:val="00C261F7"/>
    <w:rsid w:val="00C4608C"/>
    <w:rsid w:val="00C53802"/>
    <w:rsid w:val="00C84E65"/>
    <w:rsid w:val="00CC4ED7"/>
    <w:rsid w:val="00CC5CBA"/>
    <w:rsid w:val="00CE1055"/>
    <w:rsid w:val="00D30C7E"/>
    <w:rsid w:val="00D80EC1"/>
    <w:rsid w:val="00DD10A5"/>
    <w:rsid w:val="00DD391B"/>
    <w:rsid w:val="00E20E25"/>
    <w:rsid w:val="00E859EE"/>
    <w:rsid w:val="00F23845"/>
    <w:rsid w:val="00F76437"/>
    <w:rsid w:val="00F900A3"/>
    <w:rsid w:val="00FA5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65360C"/>
  <w15:chartTrackingRefBased/>
  <w15:docId w15:val="{E69A2432-732B-D640-B6FB-C7020EA2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6C6"/>
    <w:pPr>
      <w:spacing w:after="0" w:line="240" w:lineRule="auto"/>
    </w:pPr>
    <w:rPr>
      <w:kern w:val="0"/>
      <w14:ligatures w14:val="none"/>
    </w:rPr>
  </w:style>
  <w:style w:type="paragraph" w:styleId="Heading1">
    <w:name w:val="heading 1"/>
    <w:basedOn w:val="Normal"/>
    <w:next w:val="Normal"/>
    <w:link w:val="Heading1Char"/>
    <w:uiPriority w:val="9"/>
    <w:qFormat/>
    <w:rsid w:val="006266C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266C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266C6"/>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266C6"/>
    <w:pPr>
      <w:keepNext/>
      <w:keepLines/>
      <w:spacing w:before="80" w:after="40" w:line="278"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266C6"/>
    <w:pPr>
      <w:keepNext/>
      <w:keepLines/>
      <w:spacing w:before="80" w:after="40" w:line="278"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266C6"/>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266C6"/>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266C6"/>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266C6"/>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6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66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66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66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66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66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6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6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6C6"/>
    <w:rPr>
      <w:rFonts w:eastAsiaTheme="majorEastAsia" w:cstheme="majorBidi"/>
      <w:color w:val="272727" w:themeColor="text1" w:themeTint="D8"/>
    </w:rPr>
  </w:style>
  <w:style w:type="paragraph" w:styleId="Title">
    <w:name w:val="Title"/>
    <w:basedOn w:val="Normal"/>
    <w:next w:val="Normal"/>
    <w:link w:val="TitleChar"/>
    <w:uiPriority w:val="10"/>
    <w:qFormat/>
    <w:rsid w:val="006266C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266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6C6"/>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266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6C6"/>
    <w:pPr>
      <w:spacing w:before="160" w:after="160" w:line="278"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6266C6"/>
    <w:rPr>
      <w:i/>
      <w:iCs/>
      <w:color w:val="404040" w:themeColor="text1" w:themeTint="BF"/>
    </w:rPr>
  </w:style>
  <w:style w:type="paragraph" w:styleId="ListParagraph">
    <w:name w:val="List Paragraph"/>
    <w:basedOn w:val="Normal"/>
    <w:uiPriority w:val="34"/>
    <w:qFormat/>
    <w:rsid w:val="006266C6"/>
    <w:pPr>
      <w:spacing w:after="160" w:line="278" w:lineRule="auto"/>
      <w:ind w:left="720"/>
      <w:contextualSpacing/>
    </w:pPr>
    <w:rPr>
      <w:kern w:val="2"/>
      <w14:ligatures w14:val="standardContextual"/>
    </w:rPr>
  </w:style>
  <w:style w:type="character" w:styleId="IntenseEmphasis">
    <w:name w:val="Intense Emphasis"/>
    <w:basedOn w:val="DefaultParagraphFont"/>
    <w:uiPriority w:val="21"/>
    <w:qFormat/>
    <w:rsid w:val="006266C6"/>
    <w:rPr>
      <w:i/>
      <w:iCs/>
      <w:color w:val="0F4761" w:themeColor="accent1" w:themeShade="BF"/>
    </w:rPr>
  </w:style>
  <w:style w:type="paragraph" w:styleId="IntenseQuote">
    <w:name w:val="Intense Quote"/>
    <w:basedOn w:val="Normal"/>
    <w:next w:val="Normal"/>
    <w:link w:val="IntenseQuoteChar"/>
    <w:uiPriority w:val="30"/>
    <w:qFormat/>
    <w:rsid w:val="006266C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6266C6"/>
    <w:rPr>
      <w:i/>
      <w:iCs/>
      <w:color w:val="0F4761" w:themeColor="accent1" w:themeShade="BF"/>
    </w:rPr>
  </w:style>
  <w:style w:type="character" w:styleId="IntenseReference">
    <w:name w:val="Intense Reference"/>
    <w:basedOn w:val="DefaultParagraphFont"/>
    <w:uiPriority w:val="32"/>
    <w:qFormat/>
    <w:rsid w:val="006266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268</Words>
  <Characters>1530</Characters>
  <Application>Microsoft Office Word</Application>
  <DocSecurity>0</DocSecurity>
  <Lines>12</Lines>
  <Paragraphs>3</Paragraphs>
  <ScaleCrop>false</ScaleCrop>
  <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B Goodman</dc:creator>
  <cp:keywords/>
  <dc:description/>
  <cp:lastModifiedBy>Stuart B Goodman</cp:lastModifiedBy>
  <cp:revision>5</cp:revision>
  <dcterms:created xsi:type="dcterms:W3CDTF">2024-11-19T19:09:00Z</dcterms:created>
  <dcterms:modified xsi:type="dcterms:W3CDTF">2025-05-26T20:03:00Z</dcterms:modified>
</cp:coreProperties>
</file>