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540"/>
        <w:gridCol w:w="1467"/>
        <w:gridCol w:w="1854"/>
        <w:gridCol w:w="2007"/>
        <w:gridCol w:w="342"/>
      </w:tblGrid>
      <w:tr w:rsidR="002546D4" w:rsidRPr="002F7B16" w14:paraId="09F87711" w14:textId="77777777" w:rsidTr="00C87825">
        <w:trPr>
          <w:trHeight w:hRule="exact" w:val="979"/>
          <w:jc w:val="center"/>
        </w:trPr>
        <w:tc>
          <w:tcPr>
            <w:tcW w:w="109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EE8C7A8" w14:textId="77777777" w:rsidR="002546D4" w:rsidRPr="002F7B16" w:rsidRDefault="002546D4" w:rsidP="00C87825">
            <w:pPr>
              <w:pStyle w:val="DataField11pt-Single"/>
              <w:jc w:val="center"/>
              <w:rPr>
                <w:b/>
                <w:szCs w:val="22"/>
              </w:rPr>
            </w:pPr>
            <w:r w:rsidRPr="002F7B16">
              <w:rPr>
                <w:b/>
                <w:szCs w:val="22"/>
              </w:rPr>
              <w:t>BIOGRAPHICAL SKETCH</w:t>
            </w:r>
          </w:p>
          <w:p w14:paraId="73406F3D" w14:textId="77777777" w:rsidR="002546D4" w:rsidRPr="002F7B16" w:rsidRDefault="002546D4" w:rsidP="00C87825">
            <w:pPr>
              <w:pStyle w:val="HeadNoteNotItalics"/>
              <w:rPr>
                <w:sz w:val="22"/>
                <w:szCs w:val="22"/>
              </w:rPr>
            </w:pPr>
            <w:r w:rsidRPr="002F7B16">
              <w:rPr>
                <w:sz w:val="22"/>
                <w:szCs w:val="22"/>
              </w:rPr>
              <w:t>Provide the following information for the Senior/key personnel and other significant contributors.</w:t>
            </w:r>
            <w:r w:rsidRPr="002F7B16">
              <w:rPr>
                <w:sz w:val="22"/>
                <w:szCs w:val="22"/>
              </w:rPr>
              <w:br w:type="textWrapping" w:clear="all"/>
              <w:t xml:space="preserve">Follow this format for each person. </w:t>
            </w:r>
            <w:r w:rsidRPr="002F7B16">
              <w:rPr>
                <w:b/>
                <w:bCs/>
                <w:sz w:val="22"/>
                <w:szCs w:val="22"/>
              </w:rPr>
              <w:t xml:space="preserve"> DO NOT EXCEED FOUR PAGES.</w:t>
            </w:r>
          </w:p>
        </w:tc>
      </w:tr>
      <w:tr w:rsidR="002546D4" w:rsidRPr="002F7B16" w14:paraId="40562634" w14:textId="77777777" w:rsidTr="00C87825">
        <w:trPr>
          <w:trHeight w:hRule="exact" w:val="216"/>
          <w:jc w:val="center"/>
        </w:trPr>
        <w:tc>
          <w:tcPr>
            <w:tcW w:w="109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FC7D0D" w14:textId="77777777" w:rsidR="002546D4" w:rsidRPr="002F7B16" w:rsidRDefault="002546D4" w:rsidP="00C878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546D4" w:rsidRPr="002F7B16" w14:paraId="7B48E4A5" w14:textId="77777777" w:rsidTr="00680B73">
        <w:trPr>
          <w:trHeight w:val="75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404617F" w14:textId="77777777" w:rsidR="002546D4" w:rsidRPr="002F7B16" w:rsidRDefault="002546D4" w:rsidP="00C87825">
            <w:pPr>
              <w:pStyle w:val="FormFieldCaption"/>
              <w:rPr>
                <w:sz w:val="22"/>
                <w:szCs w:val="22"/>
              </w:rPr>
            </w:pPr>
            <w:r w:rsidRPr="002F7B16">
              <w:rPr>
                <w:sz w:val="22"/>
                <w:szCs w:val="22"/>
              </w:rPr>
              <w:t>NAME</w:t>
            </w:r>
          </w:p>
          <w:p w14:paraId="771D1F59" w14:textId="77777777" w:rsidR="002546D4" w:rsidRPr="002F7B16" w:rsidRDefault="002546D4" w:rsidP="0011663B">
            <w:pPr>
              <w:pStyle w:val="DataField11pt-Single"/>
              <w:rPr>
                <w:szCs w:val="22"/>
              </w:rPr>
            </w:pPr>
            <w:r w:rsidRPr="002F7B16">
              <w:rPr>
                <w:szCs w:val="22"/>
              </w:rPr>
              <w:t xml:space="preserve">                          Robert J. </w:t>
            </w:r>
            <w:r w:rsidR="0011663B">
              <w:rPr>
                <w:szCs w:val="22"/>
              </w:rPr>
              <w:t>Steffner</w:t>
            </w:r>
            <w:r w:rsidRPr="002F7B16">
              <w:rPr>
                <w:szCs w:val="22"/>
              </w:rPr>
              <w:t>, MD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33488DD9" w14:textId="77777777" w:rsidR="002546D4" w:rsidRPr="002F7B16" w:rsidRDefault="002546D4" w:rsidP="00C87825">
            <w:pPr>
              <w:pStyle w:val="FormFieldCaption"/>
              <w:rPr>
                <w:sz w:val="22"/>
                <w:szCs w:val="22"/>
              </w:rPr>
            </w:pPr>
            <w:r w:rsidRPr="002F7B16">
              <w:rPr>
                <w:sz w:val="22"/>
                <w:szCs w:val="22"/>
              </w:rPr>
              <w:t>POSITION TITLE</w:t>
            </w:r>
          </w:p>
          <w:p w14:paraId="017682B2" w14:textId="77777777" w:rsidR="002546D4" w:rsidRPr="002F7B16" w:rsidRDefault="002546D4" w:rsidP="00C87825">
            <w:pPr>
              <w:pStyle w:val="FormFieldCaption"/>
              <w:rPr>
                <w:sz w:val="22"/>
                <w:szCs w:val="22"/>
              </w:rPr>
            </w:pPr>
          </w:p>
          <w:p w14:paraId="3A80975E" w14:textId="53A12A2D" w:rsidR="002546D4" w:rsidRDefault="0011663B" w:rsidP="00C87825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Assistant</w:t>
            </w:r>
            <w:r w:rsidR="00227D59">
              <w:rPr>
                <w:szCs w:val="22"/>
              </w:rPr>
              <w:t xml:space="preserve"> Clinical Professor</w:t>
            </w:r>
          </w:p>
          <w:p w14:paraId="68DBED84" w14:textId="0D66D2DB" w:rsidR="00227D59" w:rsidRPr="002F7B16" w:rsidRDefault="00227D59" w:rsidP="00C87825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Division of Musculoskeletal Tumor Surgery</w:t>
            </w:r>
          </w:p>
          <w:p w14:paraId="723BCD89" w14:textId="77777777" w:rsidR="002546D4" w:rsidRPr="002F7B16" w:rsidRDefault="0011663B" w:rsidP="0011663B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Department</w:t>
            </w:r>
            <w:r w:rsidR="002546D4" w:rsidRPr="002F7B16">
              <w:rPr>
                <w:szCs w:val="22"/>
              </w:rPr>
              <w:t xml:space="preserve"> of </w:t>
            </w:r>
            <w:r>
              <w:rPr>
                <w:szCs w:val="22"/>
              </w:rPr>
              <w:t>Orthopedic Surgery</w:t>
            </w:r>
          </w:p>
        </w:tc>
      </w:tr>
      <w:tr w:rsidR="002546D4" w:rsidRPr="002F7B16" w14:paraId="21D51477" w14:textId="77777777" w:rsidTr="00680B73">
        <w:trPr>
          <w:gridAfter w:val="1"/>
          <w:wAfter w:w="342" w:type="dxa"/>
          <w:trHeight w:hRule="exact" w:val="101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6789317" w14:textId="5833D3BE" w:rsidR="002546D4" w:rsidRPr="002F7B16" w:rsidRDefault="002546D4" w:rsidP="00C87825">
            <w:pPr>
              <w:pStyle w:val="FormFieldCaption"/>
              <w:rPr>
                <w:sz w:val="22"/>
                <w:szCs w:val="22"/>
              </w:rPr>
            </w:pPr>
            <w:proofErr w:type="spellStart"/>
            <w:r w:rsidRPr="002F7B16">
              <w:rPr>
                <w:sz w:val="22"/>
                <w:szCs w:val="22"/>
              </w:rPr>
              <w:t>eRA</w:t>
            </w:r>
            <w:proofErr w:type="spellEnd"/>
            <w:r w:rsidRPr="002F7B16">
              <w:rPr>
                <w:sz w:val="22"/>
                <w:szCs w:val="22"/>
              </w:rPr>
              <w:t xml:space="preserve"> COMMONS USER NAME (credential, e.g., agency login)</w:t>
            </w:r>
          </w:p>
          <w:p w14:paraId="4AAFAAA7" w14:textId="3CB3CD16" w:rsidR="002546D4" w:rsidRPr="002F7B16" w:rsidRDefault="002546D4" w:rsidP="00C87825">
            <w:pPr>
              <w:pStyle w:val="FormFieldCaption"/>
              <w:rPr>
                <w:sz w:val="22"/>
                <w:szCs w:val="22"/>
              </w:rPr>
            </w:pPr>
            <w:r w:rsidRPr="002F7B16">
              <w:rPr>
                <w:sz w:val="22"/>
                <w:szCs w:val="22"/>
              </w:rPr>
              <w:t xml:space="preserve">                           </w:t>
            </w:r>
            <w:r w:rsidR="00227D59">
              <w:rPr>
                <w:sz w:val="22"/>
                <w:szCs w:val="22"/>
              </w:rPr>
              <w:t>RSTEFFNER</w:t>
            </w:r>
          </w:p>
          <w:p w14:paraId="5032A594" w14:textId="77777777" w:rsidR="002546D4" w:rsidRPr="002F7B16" w:rsidRDefault="002546D4" w:rsidP="00C87825">
            <w:pPr>
              <w:pStyle w:val="DataField11pt-Single"/>
              <w:rPr>
                <w:szCs w:val="22"/>
              </w:rPr>
            </w:pPr>
          </w:p>
        </w:tc>
        <w:tc>
          <w:tcPr>
            <w:tcW w:w="5328" w:type="dxa"/>
            <w:gridSpan w:val="3"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2070199" w14:textId="77777777" w:rsidR="002546D4" w:rsidRPr="002F7B16" w:rsidRDefault="002546D4" w:rsidP="00C87825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2546D4" w:rsidRPr="002F7B16" w14:paraId="5A509685" w14:textId="77777777" w:rsidTr="009A57E3">
        <w:trPr>
          <w:trHeight w:hRule="exact" w:val="573"/>
          <w:jc w:val="center"/>
        </w:trPr>
        <w:tc>
          <w:tcPr>
            <w:tcW w:w="1099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067ED075" w14:textId="77777777" w:rsidR="002546D4" w:rsidRDefault="002546D4" w:rsidP="00C87825">
            <w:pPr>
              <w:pStyle w:val="FormFieldCaption"/>
              <w:rPr>
                <w:i/>
                <w:iCs/>
                <w:sz w:val="22"/>
                <w:szCs w:val="22"/>
              </w:rPr>
            </w:pPr>
            <w:r w:rsidRPr="002F7B16">
              <w:rPr>
                <w:sz w:val="22"/>
                <w:szCs w:val="22"/>
              </w:rPr>
              <w:t xml:space="preserve">EDUCATION/TRAINING  </w:t>
            </w:r>
            <w:r w:rsidRPr="002F7B16">
              <w:rPr>
                <w:i/>
                <w:iCs/>
                <w:sz w:val="22"/>
                <w:szCs w:val="22"/>
              </w:rPr>
              <w:t>(Begin with baccalaureate or other initial professional education, such as nursing, include postdoctoral training and residency training if applicable.)</w:t>
            </w:r>
          </w:p>
          <w:p w14:paraId="4A0FC6F6" w14:textId="77777777" w:rsidR="009A57E3" w:rsidRPr="002F7B16" w:rsidRDefault="009A57E3" w:rsidP="00C87825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2546D4" w:rsidRPr="002F7B16" w14:paraId="58941C4C" w14:textId="77777777" w:rsidTr="001166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4D46" w14:textId="77777777" w:rsidR="002546D4" w:rsidRPr="002F7B16" w:rsidRDefault="002546D4" w:rsidP="00C87825">
            <w:pPr>
              <w:pStyle w:val="FormFieldCaption"/>
              <w:jc w:val="center"/>
              <w:rPr>
                <w:sz w:val="22"/>
                <w:szCs w:val="22"/>
              </w:rPr>
            </w:pPr>
            <w:r w:rsidRPr="002F7B16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51EB" w14:textId="77777777" w:rsidR="002546D4" w:rsidRPr="002F7B16" w:rsidRDefault="002546D4" w:rsidP="00C87825">
            <w:pPr>
              <w:pStyle w:val="FormFieldCaption"/>
              <w:jc w:val="center"/>
              <w:rPr>
                <w:sz w:val="22"/>
                <w:szCs w:val="22"/>
              </w:rPr>
            </w:pPr>
            <w:r w:rsidRPr="002F7B16">
              <w:rPr>
                <w:sz w:val="22"/>
                <w:szCs w:val="22"/>
              </w:rPr>
              <w:t>DEGREE</w:t>
            </w:r>
          </w:p>
          <w:p w14:paraId="3B1375E5" w14:textId="77777777" w:rsidR="002546D4" w:rsidRPr="002F7B16" w:rsidRDefault="002546D4" w:rsidP="00C87825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2F7B16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9DA4" w14:textId="77777777" w:rsidR="002546D4" w:rsidRPr="002F7B16" w:rsidRDefault="002546D4" w:rsidP="00C87825">
            <w:pPr>
              <w:pStyle w:val="FormFieldCaption"/>
              <w:jc w:val="center"/>
              <w:rPr>
                <w:sz w:val="22"/>
                <w:szCs w:val="22"/>
              </w:rPr>
            </w:pPr>
            <w:r w:rsidRPr="002F7B16">
              <w:rPr>
                <w:sz w:val="22"/>
                <w:szCs w:val="22"/>
              </w:rPr>
              <w:t>MM/YY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96A" w14:textId="77777777" w:rsidR="002546D4" w:rsidRPr="002F7B16" w:rsidRDefault="002546D4" w:rsidP="00C87825">
            <w:pPr>
              <w:pStyle w:val="FormFieldCaption"/>
              <w:jc w:val="center"/>
              <w:rPr>
                <w:sz w:val="22"/>
                <w:szCs w:val="22"/>
              </w:rPr>
            </w:pPr>
            <w:r w:rsidRPr="002F7B16">
              <w:rPr>
                <w:sz w:val="22"/>
                <w:szCs w:val="22"/>
              </w:rPr>
              <w:t>FIELD OF STUDY</w:t>
            </w:r>
          </w:p>
        </w:tc>
      </w:tr>
      <w:tr w:rsidR="002546D4" w:rsidRPr="002F7B16" w14:paraId="731596A3" w14:textId="77777777" w:rsidTr="001166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091" w14:textId="77777777" w:rsidR="002546D4" w:rsidRPr="002F7B16" w:rsidRDefault="0011663B" w:rsidP="00C878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Saint John’s University, Collegeville, MN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62A" w14:textId="77777777" w:rsidR="002546D4" w:rsidRPr="002F7B16" w:rsidRDefault="002546D4" w:rsidP="00C878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22"/>
                <w:szCs w:val="22"/>
              </w:rPr>
            </w:pPr>
            <w:r w:rsidRPr="002F7B16">
              <w:rPr>
                <w:rFonts w:cs="Arial"/>
                <w:sz w:val="22"/>
                <w:szCs w:val="22"/>
              </w:rPr>
              <w:t>B.A.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AC9" w14:textId="77777777" w:rsidR="002546D4" w:rsidRPr="002F7B16" w:rsidRDefault="0011663B" w:rsidP="00C878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9/97 – 6/01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61B" w14:textId="77777777" w:rsidR="002546D4" w:rsidRPr="002F7B16" w:rsidRDefault="0011663B" w:rsidP="00C878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Natural Sciences and English</w:t>
            </w:r>
          </w:p>
        </w:tc>
      </w:tr>
      <w:tr w:rsidR="002546D4" w:rsidRPr="002F7B16" w14:paraId="0D13F9F0" w14:textId="77777777" w:rsidTr="001166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CBC" w14:textId="77777777" w:rsidR="002546D4" w:rsidRPr="002F7B16" w:rsidRDefault="0011663B" w:rsidP="00C878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Wayne State School of Medicine, Detroit, MI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2F7" w14:textId="77777777" w:rsidR="002546D4" w:rsidRPr="002F7B16" w:rsidRDefault="002546D4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2F7B16">
              <w:rPr>
                <w:rFonts w:cs="Arial"/>
                <w:sz w:val="22"/>
                <w:szCs w:val="22"/>
              </w:rPr>
              <w:t>M.D.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302F" w14:textId="77777777" w:rsidR="002546D4" w:rsidRPr="002F7B16" w:rsidRDefault="0011663B" w:rsidP="00C87825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8/02 – 6/06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ED7" w14:textId="77777777" w:rsidR="002546D4" w:rsidRPr="002F7B16" w:rsidRDefault="002546D4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2F7B16">
              <w:rPr>
                <w:rFonts w:cs="Arial"/>
                <w:sz w:val="22"/>
                <w:szCs w:val="22"/>
              </w:rPr>
              <w:t>Medicine</w:t>
            </w:r>
          </w:p>
        </w:tc>
      </w:tr>
      <w:tr w:rsidR="002546D4" w:rsidRPr="002F7B16" w14:paraId="24890869" w14:textId="77777777" w:rsidTr="001166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8C5" w14:textId="77777777" w:rsidR="002546D4" w:rsidRPr="002F7B16" w:rsidRDefault="0011663B" w:rsidP="00C87825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University of Chicago, Chicago, IL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A53" w14:textId="77777777" w:rsidR="002546D4" w:rsidRPr="002F7B16" w:rsidRDefault="002546D4" w:rsidP="00C87825">
            <w:pPr>
              <w:pStyle w:val="DataField11pt-Single"/>
              <w:rPr>
                <w:szCs w:val="22"/>
              </w:rPr>
            </w:pPr>
            <w:r w:rsidRPr="002F7B16">
              <w:rPr>
                <w:szCs w:val="22"/>
              </w:rPr>
              <w:t>Internship and Residency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DD69" w14:textId="77777777" w:rsidR="002546D4" w:rsidRPr="002F7B16" w:rsidRDefault="0011663B" w:rsidP="00C87825">
            <w:pPr>
              <w:pStyle w:val="DataField11pt-Single"/>
              <w:jc w:val="both"/>
              <w:rPr>
                <w:szCs w:val="22"/>
              </w:rPr>
            </w:pPr>
            <w:r>
              <w:rPr>
                <w:szCs w:val="22"/>
              </w:rPr>
              <w:t>6/06 – 6/11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D758" w14:textId="77777777" w:rsidR="002546D4" w:rsidRPr="002F7B16" w:rsidRDefault="0011663B" w:rsidP="00C87825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Orthopedic Surgery</w:t>
            </w:r>
          </w:p>
        </w:tc>
      </w:tr>
      <w:tr w:rsidR="002546D4" w:rsidRPr="002F7B16" w14:paraId="4BA7FF1A" w14:textId="77777777" w:rsidTr="001166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BE3" w14:textId="77777777" w:rsidR="002546D4" w:rsidRPr="002F7B16" w:rsidRDefault="0011663B" w:rsidP="00C87825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University of California, Davis, Sacramento, CA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1D8" w14:textId="77777777" w:rsidR="002546D4" w:rsidRPr="002F7B16" w:rsidRDefault="0011663B" w:rsidP="00C87825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Fellowship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ECB" w14:textId="77777777" w:rsidR="002546D4" w:rsidRPr="002F7B16" w:rsidRDefault="0011663B" w:rsidP="00C87825">
            <w:pPr>
              <w:pStyle w:val="DataField11pt-Single"/>
              <w:jc w:val="both"/>
              <w:rPr>
                <w:szCs w:val="22"/>
              </w:rPr>
            </w:pPr>
            <w:r>
              <w:rPr>
                <w:szCs w:val="22"/>
              </w:rPr>
              <w:t>7/11 – 6/12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BD8" w14:textId="77777777" w:rsidR="002546D4" w:rsidRPr="002F7B16" w:rsidRDefault="0011663B" w:rsidP="00C87825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Orthopedic Trauma</w:t>
            </w:r>
          </w:p>
        </w:tc>
      </w:tr>
      <w:tr w:rsidR="002546D4" w:rsidRPr="002F7B16" w14:paraId="51B71B7C" w14:textId="77777777" w:rsidTr="001166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55ED" w14:textId="77777777" w:rsidR="002546D4" w:rsidRPr="002F7B16" w:rsidRDefault="0011663B" w:rsidP="00C87825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University of Chicago, Chicago,, IL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1188" w14:textId="77777777" w:rsidR="002546D4" w:rsidRPr="002F7B16" w:rsidRDefault="002546D4" w:rsidP="00C87825">
            <w:pPr>
              <w:pStyle w:val="DataField11pt-Single"/>
              <w:rPr>
                <w:szCs w:val="22"/>
              </w:rPr>
            </w:pPr>
            <w:r w:rsidRPr="002F7B16">
              <w:rPr>
                <w:szCs w:val="22"/>
              </w:rPr>
              <w:t>Fellowship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5D3B" w14:textId="77777777" w:rsidR="002546D4" w:rsidRPr="002F7B16" w:rsidRDefault="0011663B" w:rsidP="00C87825">
            <w:pPr>
              <w:pStyle w:val="DataField11pt-Single"/>
              <w:jc w:val="both"/>
              <w:rPr>
                <w:szCs w:val="22"/>
              </w:rPr>
            </w:pPr>
            <w:r>
              <w:rPr>
                <w:szCs w:val="22"/>
              </w:rPr>
              <w:t>7/12 – 6/13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7D92" w14:textId="77777777" w:rsidR="002546D4" w:rsidRPr="002F7B16" w:rsidRDefault="0011663B" w:rsidP="00C87825">
            <w:pPr>
              <w:pStyle w:val="DataField11pt-Single"/>
              <w:rPr>
                <w:szCs w:val="22"/>
              </w:rPr>
            </w:pPr>
            <w:r>
              <w:rPr>
                <w:szCs w:val="22"/>
              </w:rPr>
              <w:t>Orthopedic Oncology</w:t>
            </w:r>
          </w:p>
        </w:tc>
      </w:tr>
    </w:tbl>
    <w:p w14:paraId="78A64EE4" w14:textId="77777777" w:rsidR="002546D4" w:rsidRPr="002F7B16" w:rsidRDefault="002546D4" w:rsidP="002546D4">
      <w:pPr>
        <w:pStyle w:val="DataField11pt-Single"/>
        <w:rPr>
          <w:szCs w:val="22"/>
        </w:rPr>
      </w:pPr>
    </w:p>
    <w:p w14:paraId="1F2D81C8" w14:textId="77777777" w:rsidR="002546D4" w:rsidRPr="002F7B16" w:rsidRDefault="002546D4" w:rsidP="002546D4">
      <w:pPr>
        <w:pStyle w:val="DataField11pt-Single"/>
        <w:numPr>
          <w:ilvl w:val="0"/>
          <w:numId w:val="1"/>
        </w:numPr>
        <w:rPr>
          <w:b/>
          <w:szCs w:val="22"/>
        </w:rPr>
      </w:pPr>
      <w:r w:rsidRPr="002F7B16">
        <w:rPr>
          <w:b/>
          <w:szCs w:val="22"/>
        </w:rPr>
        <w:t>Personal Statement</w:t>
      </w:r>
    </w:p>
    <w:p w14:paraId="2FD8A05C" w14:textId="77777777" w:rsidR="002546D4" w:rsidRPr="002F7B16" w:rsidRDefault="002546D4" w:rsidP="002546D4">
      <w:pPr>
        <w:pStyle w:val="DataField11pt-Single"/>
        <w:rPr>
          <w:szCs w:val="22"/>
        </w:rPr>
      </w:pPr>
    </w:p>
    <w:p w14:paraId="4A6F4C0F" w14:textId="1F1C49A5" w:rsidR="00DB4EB4" w:rsidRDefault="002546D4" w:rsidP="002546D4">
      <w:pPr>
        <w:rPr>
          <w:rFonts w:cs="Arial"/>
          <w:sz w:val="22"/>
          <w:szCs w:val="22"/>
        </w:rPr>
      </w:pPr>
      <w:r w:rsidRPr="002F7B16">
        <w:rPr>
          <w:rFonts w:cs="Arial"/>
          <w:sz w:val="22"/>
          <w:szCs w:val="22"/>
        </w:rPr>
        <w:t>I have experience in the</w:t>
      </w:r>
      <w:r w:rsidR="00964CF4">
        <w:rPr>
          <w:rFonts w:cs="Arial"/>
          <w:sz w:val="22"/>
          <w:szCs w:val="22"/>
        </w:rPr>
        <w:t xml:space="preserve"> multidisciplinary evaluation and management</w:t>
      </w:r>
      <w:r w:rsidRPr="002F7B16">
        <w:rPr>
          <w:rFonts w:cs="Arial"/>
          <w:sz w:val="22"/>
          <w:szCs w:val="22"/>
        </w:rPr>
        <w:t xml:space="preserve"> </w:t>
      </w:r>
      <w:r w:rsidR="00DB4EB4">
        <w:rPr>
          <w:rFonts w:cs="Arial"/>
          <w:sz w:val="22"/>
          <w:szCs w:val="22"/>
        </w:rPr>
        <w:t xml:space="preserve">of </w:t>
      </w:r>
      <w:r w:rsidR="00F440DD">
        <w:rPr>
          <w:rFonts w:cs="Arial"/>
          <w:sz w:val="22"/>
          <w:szCs w:val="22"/>
        </w:rPr>
        <w:t xml:space="preserve">adult and </w:t>
      </w:r>
      <w:r w:rsidR="00DB4EB4">
        <w:rPr>
          <w:rFonts w:cs="Arial"/>
          <w:sz w:val="22"/>
          <w:szCs w:val="22"/>
        </w:rPr>
        <w:t xml:space="preserve">pediatric </w:t>
      </w:r>
      <w:r w:rsidR="00964CF4">
        <w:rPr>
          <w:rFonts w:cs="Arial"/>
          <w:sz w:val="22"/>
          <w:szCs w:val="22"/>
        </w:rPr>
        <w:t>patients with soft tissue and bone sarcomas. I have experience with clinical/translational research and the enrollment of patients</w:t>
      </w:r>
      <w:r w:rsidR="00DB4EB4">
        <w:rPr>
          <w:rFonts w:cs="Arial"/>
          <w:sz w:val="22"/>
          <w:szCs w:val="22"/>
        </w:rPr>
        <w:t xml:space="preserve"> on various</w:t>
      </w:r>
      <w:r w:rsidR="00964CF4">
        <w:rPr>
          <w:rFonts w:cs="Arial"/>
          <w:sz w:val="22"/>
          <w:szCs w:val="22"/>
        </w:rPr>
        <w:t xml:space="preserve"> protocols. As a busy clinician i</w:t>
      </w:r>
      <w:r w:rsidR="00F440DD">
        <w:rPr>
          <w:rFonts w:cs="Arial"/>
          <w:sz w:val="22"/>
          <w:szCs w:val="22"/>
        </w:rPr>
        <w:t>nvolved in the care of</w:t>
      </w:r>
      <w:r w:rsidR="00964CF4">
        <w:rPr>
          <w:rFonts w:cs="Arial"/>
          <w:sz w:val="22"/>
          <w:szCs w:val="22"/>
        </w:rPr>
        <w:t xml:space="preserve"> patients with advanced sarcomas, I am well aware of the </w:t>
      </w:r>
      <w:r w:rsidR="007C4530">
        <w:rPr>
          <w:rFonts w:cs="Arial"/>
          <w:sz w:val="22"/>
          <w:szCs w:val="22"/>
        </w:rPr>
        <w:t>strengths and weaknesses of currently available co</w:t>
      </w:r>
      <w:r w:rsidR="00F440DD">
        <w:rPr>
          <w:rFonts w:cs="Arial"/>
          <w:sz w:val="22"/>
          <w:szCs w:val="22"/>
        </w:rPr>
        <w:t>mbined modality treatments for</w:t>
      </w:r>
      <w:r w:rsidR="007C4530">
        <w:rPr>
          <w:rFonts w:cs="Arial"/>
          <w:sz w:val="22"/>
          <w:szCs w:val="22"/>
        </w:rPr>
        <w:t xml:space="preserve"> patients with</w:t>
      </w:r>
      <w:r w:rsidR="00DB4EB4">
        <w:rPr>
          <w:rFonts w:cs="Arial"/>
          <w:sz w:val="22"/>
          <w:szCs w:val="22"/>
        </w:rPr>
        <w:t xml:space="preserve"> bone and soft tissue sarcomas. </w:t>
      </w:r>
    </w:p>
    <w:p w14:paraId="7CC03573" w14:textId="77777777" w:rsidR="00DB4EB4" w:rsidRDefault="00DB4EB4" w:rsidP="002546D4">
      <w:pPr>
        <w:rPr>
          <w:rFonts w:cs="Arial"/>
          <w:sz w:val="22"/>
          <w:szCs w:val="22"/>
        </w:rPr>
      </w:pPr>
    </w:p>
    <w:p w14:paraId="47B88CAD" w14:textId="2B5B2E83" w:rsidR="002E58A3" w:rsidRDefault="00DB4EB4" w:rsidP="002546D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am interested in working with other physicians involved in the mul</w:t>
      </w:r>
      <w:r w:rsidR="00F440DD">
        <w:rPr>
          <w:rFonts w:cs="Arial"/>
          <w:sz w:val="22"/>
          <w:szCs w:val="22"/>
        </w:rPr>
        <w:t>tidisciplinary care of</w:t>
      </w:r>
      <w:r>
        <w:rPr>
          <w:rFonts w:cs="Arial"/>
          <w:sz w:val="22"/>
          <w:szCs w:val="22"/>
        </w:rPr>
        <w:t xml:space="preserve"> sarcoma patients to help advance treatment protocols.  This involves both participating in clinical trials and helping write procedure to facilitate communication between the various d</w:t>
      </w:r>
      <w:r w:rsidR="00F440DD">
        <w:rPr>
          <w:rFonts w:cs="Arial"/>
          <w:sz w:val="22"/>
          <w:szCs w:val="22"/>
        </w:rPr>
        <w:t>isciplines involved in</w:t>
      </w:r>
      <w:r>
        <w:rPr>
          <w:rFonts w:cs="Arial"/>
          <w:sz w:val="22"/>
          <w:szCs w:val="22"/>
        </w:rPr>
        <w:t xml:space="preserve"> cancer care.</w:t>
      </w:r>
    </w:p>
    <w:p w14:paraId="19055AB1" w14:textId="77777777" w:rsidR="00DB4EB4" w:rsidRPr="002F7B16" w:rsidRDefault="00DB4EB4" w:rsidP="002546D4">
      <w:pPr>
        <w:rPr>
          <w:rFonts w:cs="Arial"/>
          <w:sz w:val="22"/>
          <w:szCs w:val="22"/>
        </w:rPr>
      </w:pPr>
    </w:p>
    <w:p w14:paraId="0DF99820" w14:textId="77777777" w:rsidR="002546D4" w:rsidRPr="002F7B16" w:rsidRDefault="002546D4" w:rsidP="002546D4">
      <w:pPr>
        <w:pStyle w:val="DataField11pt-Single"/>
        <w:rPr>
          <w:b/>
          <w:szCs w:val="22"/>
        </w:rPr>
      </w:pPr>
      <w:r w:rsidRPr="002F7B16">
        <w:rPr>
          <w:b/>
          <w:szCs w:val="22"/>
        </w:rPr>
        <w:t xml:space="preserve">B.  Positions and Honors </w:t>
      </w:r>
    </w:p>
    <w:p w14:paraId="3B4DBDD8" w14:textId="77777777" w:rsidR="002546D4" w:rsidRPr="002F7B16" w:rsidRDefault="002546D4" w:rsidP="002546D4">
      <w:pPr>
        <w:pStyle w:val="DataField11pt-Single"/>
        <w:rPr>
          <w:szCs w:val="22"/>
        </w:rPr>
      </w:pPr>
    </w:p>
    <w:p w14:paraId="3078E67B" w14:textId="77777777" w:rsidR="002546D4" w:rsidRDefault="002546D4" w:rsidP="002546D4">
      <w:pPr>
        <w:pStyle w:val="DataField11pt-Single"/>
        <w:rPr>
          <w:b/>
          <w:szCs w:val="22"/>
          <w:u w:val="single"/>
        </w:rPr>
      </w:pPr>
      <w:r w:rsidRPr="002F7B16">
        <w:rPr>
          <w:b/>
          <w:szCs w:val="22"/>
          <w:u w:val="single"/>
        </w:rPr>
        <w:t>Positions and Employment</w:t>
      </w:r>
    </w:p>
    <w:p w14:paraId="292EBC73" w14:textId="77777777" w:rsidR="0011663B" w:rsidRPr="002F7B16" w:rsidRDefault="0011663B" w:rsidP="002546D4">
      <w:pPr>
        <w:pStyle w:val="DataField11pt-Single"/>
        <w:rPr>
          <w:b/>
          <w:szCs w:val="22"/>
          <w:u w:val="single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2430"/>
        <w:gridCol w:w="8190"/>
      </w:tblGrid>
      <w:tr w:rsidR="002546D4" w:rsidRPr="002F7B16" w14:paraId="53B1ABEC" w14:textId="77777777" w:rsidTr="00C87825">
        <w:tc>
          <w:tcPr>
            <w:tcW w:w="2430" w:type="dxa"/>
          </w:tcPr>
          <w:p w14:paraId="0100515C" w14:textId="7D74F7C3" w:rsidR="002546D4" w:rsidRPr="002F7B16" w:rsidRDefault="002546D4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04E8394B" w14:textId="77777777" w:rsidR="0011663B" w:rsidRDefault="00DB4EB4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2013 – 2015</w:t>
            </w:r>
          </w:p>
          <w:p w14:paraId="5BEAA100" w14:textId="77777777" w:rsidR="00DB4EB4" w:rsidRDefault="00DB4EB4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532F6407" w14:textId="77777777" w:rsidR="00DB4EB4" w:rsidRDefault="00DB4EB4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38FCA32F" w14:textId="3423BC2C" w:rsidR="00DB4EB4" w:rsidRPr="002F7B16" w:rsidRDefault="00F440DD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2015 – 2016</w:t>
            </w:r>
          </w:p>
        </w:tc>
        <w:tc>
          <w:tcPr>
            <w:tcW w:w="8190" w:type="dxa"/>
          </w:tcPr>
          <w:p w14:paraId="4370A324" w14:textId="77777777" w:rsidR="0011663B" w:rsidRDefault="0011663B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532F625C" w14:textId="77777777" w:rsidR="0011663B" w:rsidRDefault="0011663B" w:rsidP="0011663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Assistant Professor, Department of Orthopedic Surgery, University of California Davis School of Medicine</w:t>
            </w:r>
          </w:p>
          <w:p w14:paraId="2EF4EB00" w14:textId="77777777" w:rsidR="00DB4EB4" w:rsidRPr="002F7B16" w:rsidRDefault="00DB4EB4" w:rsidP="0011663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5BDD4BCC" w14:textId="12DEC62C" w:rsidR="002546D4" w:rsidRPr="002F7B16" w:rsidRDefault="00DB4EB4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Assistant Professor, Department of </w:t>
            </w:r>
            <w:proofErr w:type="spellStart"/>
            <w:r>
              <w:rPr>
                <w:rFonts w:cs="Arial"/>
                <w:sz w:val="22"/>
                <w:szCs w:val="22"/>
              </w:rPr>
              <w:t>Orthopaedic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Surgery, Columbia University College of Physicians &amp; Surgeons</w:t>
            </w:r>
          </w:p>
        </w:tc>
      </w:tr>
      <w:tr w:rsidR="002546D4" w:rsidRPr="002F7B16" w14:paraId="3B5C7CFC" w14:textId="77777777" w:rsidTr="00C87825">
        <w:tc>
          <w:tcPr>
            <w:tcW w:w="2430" w:type="dxa"/>
          </w:tcPr>
          <w:p w14:paraId="68E190CF" w14:textId="62748659" w:rsidR="00C718DC" w:rsidRDefault="00C718DC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2016 - 2019</w:t>
            </w:r>
          </w:p>
          <w:p w14:paraId="307D4E22" w14:textId="77777777" w:rsidR="00C718DC" w:rsidRDefault="00C718DC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522B4EA2" w14:textId="77777777" w:rsidR="00C718DC" w:rsidRDefault="00C718DC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621D5C44" w14:textId="0D23BEC2" w:rsidR="002546D4" w:rsidRPr="002F7B16" w:rsidRDefault="00F440DD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2016 – Present</w:t>
            </w:r>
          </w:p>
        </w:tc>
        <w:tc>
          <w:tcPr>
            <w:tcW w:w="8190" w:type="dxa"/>
          </w:tcPr>
          <w:p w14:paraId="1B884FD1" w14:textId="4C15A6B8" w:rsidR="00C718DC" w:rsidRDefault="00C718DC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Interim Chairperson, Department of </w:t>
            </w:r>
            <w:proofErr w:type="spellStart"/>
            <w:r>
              <w:rPr>
                <w:rFonts w:cs="Arial"/>
                <w:sz w:val="22"/>
                <w:szCs w:val="22"/>
              </w:rPr>
              <w:t>Orthopaedic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Surgery, Santa Clara Valley Medical Center</w:t>
            </w:r>
          </w:p>
          <w:p w14:paraId="576AB5DA" w14:textId="77777777" w:rsidR="00C718DC" w:rsidRDefault="00C718DC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14:paraId="1B698D3F" w14:textId="33CF5D7D" w:rsidR="00F440DD" w:rsidRPr="002F7B16" w:rsidRDefault="00F440DD" w:rsidP="00C87825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Clinical Assistant Professor, Division of Musculoskeletal Tumor, Department of </w:t>
            </w:r>
            <w:proofErr w:type="spellStart"/>
            <w:r>
              <w:rPr>
                <w:rFonts w:cs="Arial"/>
                <w:sz w:val="22"/>
                <w:szCs w:val="22"/>
              </w:rPr>
              <w:t>Orthopaedic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Surgery, Stanford University School of Medicine</w:t>
            </w:r>
          </w:p>
        </w:tc>
      </w:tr>
    </w:tbl>
    <w:p w14:paraId="217F51FF" w14:textId="77777777" w:rsidR="00F440DD" w:rsidRDefault="00F440DD" w:rsidP="002546D4">
      <w:pPr>
        <w:pStyle w:val="DataField11pt-Single"/>
        <w:rPr>
          <w:b/>
          <w:szCs w:val="22"/>
          <w:u w:val="single"/>
        </w:rPr>
      </w:pPr>
    </w:p>
    <w:p w14:paraId="663393E1" w14:textId="77777777" w:rsidR="002546D4" w:rsidRDefault="002546D4" w:rsidP="002546D4">
      <w:pPr>
        <w:pStyle w:val="DataField11pt-Single"/>
        <w:rPr>
          <w:b/>
          <w:szCs w:val="22"/>
          <w:u w:val="single"/>
        </w:rPr>
      </w:pPr>
      <w:r w:rsidRPr="002F7B16">
        <w:rPr>
          <w:b/>
          <w:szCs w:val="22"/>
          <w:u w:val="single"/>
        </w:rPr>
        <w:t>Other Experience and Professional Memberships</w:t>
      </w:r>
    </w:p>
    <w:p w14:paraId="63BD11C0" w14:textId="77777777" w:rsidR="00FC024A" w:rsidRPr="002F7B16" w:rsidRDefault="00FC024A" w:rsidP="002546D4">
      <w:pPr>
        <w:pStyle w:val="DataField11pt-Single"/>
        <w:rPr>
          <w:b/>
          <w:szCs w:val="22"/>
          <w:u w:val="single"/>
        </w:rPr>
      </w:pPr>
    </w:p>
    <w:p w14:paraId="675EEBFB" w14:textId="29B2C60F" w:rsidR="002546D4" w:rsidRPr="002F7B16" w:rsidRDefault="009A57E3" w:rsidP="002E58A3">
      <w:pPr>
        <w:ind w:left="90" w:firstLine="6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Present </w:t>
      </w:r>
      <w:r>
        <w:rPr>
          <w:rFonts w:cs="Arial"/>
          <w:sz w:val="22"/>
          <w:szCs w:val="22"/>
        </w:rPr>
        <w:tab/>
      </w:r>
      <w:r w:rsidR="002546D4" w:rsidRPr="002F7B16">
        <w:rPr>
          <w:rFonts w:cs="Arial"/>
          <w:sz w:val="22"/>
          <w:szCs w:val="22"/>
        </w:rPr>
        <w:t xml:space="preserve">Member, </w:t>
      </w:r>
      <w:r w:rsidR="00DB4EB4">
        <w:rPr>
          <w:rFonts w:cs="Arial"/>
          <w:sz w:val="22"/>
          <w:szCs w:val="22"/>
        </w:rPr>
        <w:t>AOA</w:t>
      </w:r>
      <w:r w:rsidR="00964CF4">
        <w:rPr>
          <w:rFonts w:cs="Arial"/>
          <w:sz w:val="22"/>
          <w:szCs w:val="22"/>
        </w:rPr>
        <w:t xml:space="preserve"> Emerging Leaders Program</w:t>
      </w:r>
    </w:p>
    <w:p w14:paraId="3F8FF857" w14:textId="51F84E6D" w:rsidR="00964CF4" w:rsidRDefault="002E58A3" w:rsidP="002E58A3">
      <w:pPr>
        <w:ind w:left="90" w:firstLine="6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Present </w:t>
      </w:r>
      <w:r>
        <w:rPr>
          <w:rFonts w:cs="Arial"/>
          <w:sz w:val="22"/>
          <w:szCs w:val="22"/>
        </w:rPr>
        <w:tab/>
      </w:r>
      <w:r w:rsidR="002546D4" w:rsidRPr="002F7B16">
        <w:rPr>
          <w:rFonts w:cs="Arial"/>
          <w:sz w:val="22"/>
          <w:szCs w:val="22"/>
        </w:rPr>
        <w:t xml:space="preserve">Member, </w:t>
      </w:r>
      <w:r w:rsidR="00DB4EB4">
        <w:rPr>
          <w:rFonts w:cs="Arial"/>
          <w:sz w:val="22"/>
          <w:szCs w:val="22"/>
        </w:rPr>
        <w:t>AO Trauma</w:t>
      </w:r>
      <w:r w:rsidR="00964CF4">
        <w:rPr>
          <w:rFonts w:cs="Arial"/>
          <w:sz w:val="22"/>
          <w:szCs w:val="22"/>
        </w:rPr>
        <w:t xml:space="preserve"> Faculty Member</w:t>
      </w:r>
    </w:p>
    <w:p w14:paraId="1136FAA0" w14:textId="219D5F3A" w:rsidR="002546D4" w:rsidRDefault="002E58A3" w:rsidP="002E58A3">
      <w:pPr>
        <w:ind w:left="90" w:firstLine="6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Present </w:t>
      </w:r>
      <w:r>
        <w:rPr>
          <w:rFonts w:cs="Arial"/>
          <w:sz w:val="22"/>
          <w:szCs w:val="22"/>
        </w:rPr>
        <w:tab/>
      </w:r>
      <w:r w:rsidR="00964CF4">
        <w:rPr>
          <w:rFonts w:cs="Arial"/>
          <w:sz w:val="22"/>
          <w:szCs w:val="22"/>
        </w:rPr>
        <w:t>Member, Musculoskeletal Tumor Society</w:t>
      </w:r>
    </w:p>
    <w:p w14:paraId="2D5AF137" w14:textId="10B6010E" w:rsidR="00F440DD" w:rsidRDefault="00F440DD" w:rsidP="002E58A3">
      <w:pPr>
        <w:ind w:left="90" w:firstLine="6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Present</w:t>
      </w:r>
      <w:r>
        <w:rPr>
          <w:rFonts w:cs="Arial"/>
          <w:sz w:val="22"/>
          <w:szCs w:val="22"/>
        </w:rPr>
        <w:tab/>
        <w:t>Member, Children’s Oncology Group</w:t>
      </w:r>
    </w:p>
    <w:p w14:paraId="69413298" w14:textId="31532884" w:rsidR="00F440DD" w:rsidRPr="002F7B16" w:rsidRDefault="00F440DD" w:rsidP="002E58A3">
      <w:pPr>
        <w:ind w:left="90" w:firstLine="6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Present</w:t>
      </w:r>
      <w:r>
        <w:rPr>
          <w:rFonts w:cs="Arial"/>
          <w:sz w:val="22"/>
          <w:szCs w:val="22"/>
        </w:rPr>
        <w:tab/>
        <w:t xml:space="preserve">Fellow, American Academy of </w:t>
      </w:r>
      <w:proofErr w:type="spellStart"/>
      <w:r>
        <w:rPr>
          <w:rFonts w:cs="Arial"/>
          <w:sz w:val="22"/>
          <w:szCs w:val="22"/>
        </w:rPr>
        <w:t>Orthopaedic</w:t>
      </w:r>
      <w:proofErr w:type="spellEnd"/>
      <w:r>
        <w:rPr>
          <w:rFonts w:cs="Arial"/>
          <w:sz w:val="22"/>
          <w:szCs w:val="22"/>
        </w:rPr>
        <w:t xml:space="preserve"> Surgeons</w:t>
      </w:r>
    </w:p>
    <w:p w14:paraId="05397783" w14:textId="77777777" w:rsidR="002E58A3" w:rsidRPr="002F7B16" w:rsidRDefault="002E58A3" w:rsidP="002E58A3">
      <w:pPr>
        <w:ind w:firstLine="720"/>
        <w:rPr>
          <w:rFonts w:cs="Arial"/>
          <w:sz w:val="22"/>
          <w:szCs w:val="22"/>
        </w:rPr>
      </w:pPr>
    </w:p>
    <w:p w14:paraId="08AA9697" w14:textId="77777777" w:rsidR="002546D4" w:rsidRDefault="002546D4" w:rsidP="002546D4">
      <w:pPr>
        <w:pStyle w:val="DataField11pt-Single"/>
        <w:rPr>
          <w:b/>
          <w:szCs w:val="22"/>
          <w:u w:val="single"/>
        </w:rPr>
      </w:pPr>
      <w:r w:rsidRPr="002F7B16">
        <w:rPr>
          <w:b/>
          <w:szCs w:val="22"/>
          <w:u w:val="single"/>
        </w:rPr>
        <w:t xml:space="preserve">Honors </w:t>
      </w:r>
    </w:p>
    <w:p w14:paraId="135FC299" w14:textId="77777777" w:rsidR="00FC024A" w:rsidRPr="002F7B16" w:rsidRDefault="00FC024A" w:rsidP="002546D4">
      <w:pPr>
        <w:pStyle w:val="DataField11pt-Single"/>
        <w:rPr>
          <w:b/>
          <w:szCs w:val="22"/>
          <w:u w:val="single"/>
        </w:rPr>
      </w:pPr>
    </w:p>
    <w:p w14:paraId="5BB933B5" w14:textId="77777777" w:rsidR="002546D4" w:rsidRPr="002F7B16" w:rsidRDefault="002546D4" w:rsidP="002E58A3">
      <w:pPr>
        <w:pStyle w:val="DataField11pt-Single"/>
        <w:ind w:firstLine="720"/>
        <w:rPr>
          <w:szCs w:val="22"/>
        </w:rPr>
      </w:pPr>
      <w:r w:rsidRPr="002F7B16">
        <w:rPr>
          <w:szCs w:val="22"/>
        </w:rPr>
        <w:t xml:space="preserve">Alpha Omega Alpha, </w:t>
      </w:r>
      <w:r w:rsidR="0011663B">
        <w:rPr>
          <w:szCs w:val="22"/>
        </w:rPr>
        <w:t>Wayne State School of Medicine</w:t>
      </w:r>
    </w:p>
    <w:p w14:paraId="6B019592" w14:textId="77777777" w:rsidR="002546D4" w:rsidRPr="002F7B16" w:rsidRDefault="002546D4" w:rsidP="002546D4">
      <w:pPr>
        <w:pStyle w:val="DataField11pt-Single"/>
        <w:rPr>
          <w:szCs w:val="22"/>
        </w:rPr>
      </w:pPr>
    </w:p>
    <w:p w14:paraId="545A0053" w14:textId="0D90E445" w:rsidR="00B35D80" w:rsidRDefault="002546D4" w:rsidP="00B35D80">
      <w:pPr>
        <w:pStyle w:val="DataField11pt-Single"/>
        <w:numPr>
          <w:ilvl w:val="0"/>
          <w:numId w:val="1"/>
        </w:numPr>
        <w:rPr>
          <w:b/>
          <w:szCs w:val="22"/>
        </w:rPr>
      </w:pPr>
      <w:r w:rsidRPr="002F7B16">
        <w:rPr>
          <w:b/>
          <w:szCs w:val="22"/>
        </w:rPr>
        <w:t xml:space="preserve">Selected Peer-Reviewed Publications </w:t>
      </w:r>
    </w:p>
    <w:p w14:paraId="6374A954" w14:textId="77777777" w:rsidR="00B35D80" w:rsidRPr="00B35D80" w:rsidRDefault="00B35D80" w:rsidP="00B35D80">
      <w:pPr>
        <w:pStyle w:val="DataField11pt-Single"/>
        <w:rPr>
          <w:b/>
          <w:szCs w:val="22"/>
        </w:rPr>
      </w:pPr>
    </w:p>
    <w:p w14:paraId="56F5C025" w14:textId="656AFC32" w:rsidR="00B35D80" w:rsidRPr="00B35D80" w:rsidRDefault="00B35D80" w:rsidP="00B35D80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B35D80">
        <w:rPr>
          <w:rFonts w:cs="Arial"/>
          <w:sz w:val="22"/>
          <w:szCs w:val="22"/>
        </w:rPr>
        <w:t>2020</w:t>
      </w:r>
      <w:r w:rsidRPr="00B35D80">
        <w:rPr>
          <w:rFonts w:cs="Arial"/>
          <w:sz w:val="22"/>
          <w:szCs w:val="22"/>
        </w:rPr>
        <w:tab/>
      </w:r>
      <w:proofErr w:type="spellStart"/>
      <w:r w:rsidRPr="00B35D80">
        <w:rPr>
          <w:rFonts w:cs="Arial"/>
          <w:sz w:val="22"/>
          <w:szCs w:val="22"/>
        </w:rPr>
        <w:t>Eppler</w:t>
      </w:r>
      <w:proofErr w:type="spellEnd"/>
      <w:r w:rsidRPr="00B35D80">
        <w:rPr>
          <w:rFonts w:cs="Arial"/>
          <w:sz w:val="22"/>
          <w:szCs w:val="22"/>
        </w:rPr>
        <w:t xml:space="preserve">, SL, Shah R, Mertz K, Gil J, </w:t>
      </w:r>
      <w:proofErr w:type="spellStart"/>
      <w:r w:rsidRPr="00B35D80">
        <w:rPr>
          <w:rFonts w:cs="Arial"/>
          <w:sz w:val="22"/>
          <w:szCs w:val="22"/>
        </w:rPr>
        <w:t>Amanatullah</w:t>
      </w:r>
      <w:proofErr w:type="spellEnd"/>
      <w:r w:rsidRPr="00B35D80">
        <w:rPr>
          <w:rFonts w:cs="Arial"/>
          <w:sz w:val="22"/>
          <w:szCs w:val="22"/>
        </w:rPr>
        <w:t xml:space="preserve"> D, Yao J, Chou LB, </w:t>
      </w:r>
      <w:r w:rsidRPr="00B35D80">
        <w:rPr>
          <w:rFonts w:cs="Arial"/>
          <w:b/>
          <w:sz w:val="22"/>
          <w:szCs w:val="22"/>
        </w:rPr>
        <w:t>Steffner RJ</w:t>
      </w:r>
      <w:r w:rsidRPr="00B35D80">
        <w:rPr>
          <w:rFonts w:cs="Arial"/>
          <w:sz w:val="22"/>
          <w:szCs w:val="22"/>
        </w:rPr>
        <w:t xml:space="preserve">, </w:t>
      </w:r>
      <w:proofErr w:type="spellStart"/>
      <w:r w:rsidRPr="00B35D80">
        <w:rPr>
          <w:rFonts w:cs="Arial"/>
          <w:sz w:val="22"/>
          <w:szCs w:val="22"/>
        </w:rPr>
        <w:t>Safran</w:t>
      </w:r>
      <w:proofErr w:type="spellEnd"/>
      <w:r w:rsidRPr="00B35D80">
        <w:rPr>
          <w:rFonts w:cs="Arial"/>
          <w:sz w:val="22"/>
          <w:szCs w:val="22"/>
        </w:rPr>
        <w:t xml:space="preserve"> MR, Hu S, </w:t>
      </w:r>
      <w:r w:rsidRPr="00B35D80">
        <w:rPr>
          <w:rFonts w:cs="Arial"/>
          <w:sz w:val="22"/>
          <w:szCs w:val="22"/>
        </w:rPr>
        <w:t>Kamal R. The Importance of Concordance between Patients and their Subspecialist. Orthopedics. 2020 Sep 1</w:t>
      </w:r>
      <w:proofErr w:type="gramStart"/>
      <w:r w:rsidRPr="00B35D80">
        <w:rPr>
          <w:rFonts w:cs="Arial"/>
          <w:sz w:val="22"/>
          <w:szCs w:val="22"/>
        </w:rPr>
        <w:t>;43</w:t>
      </w:r>
      <w:proofErr w:type="gramEnd"/>
      <w:r w:rsidRPr="00B35D80">
        <w:rPr>
          <w:rFonts w:cs="Arial"/>
          <w:sz w:val="22"/>
          <w:szCs w:val="22"/>
        </w:rPr>
        <w:t>(5): 315-319.</w:t>
      </w:r>
    </w:p>
    <w:p w14:paraId="3179CA53" w14:textId="0B47AEE9" w:rsidR="00C718DC" w:rsidRPr="00B35D80" w:rsidRDefault="004F1A43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B35D80">
        <w:rPr>
          <w:rFonts w:cs="Arial"/>
          <w:sz w:val="22"/>
          <w:szCs w:val="22"/>
        </w:rPr>
        <w:t>2020</w:t>
      </w:r>
      <w:r w:rsidRPr="00B35D80">
        <w:rPr>
          <w:rFonts w:cs="Arial"/>
          <w:sz w:val="22"/>
          <w:szCs w:val="22"/>
        </w:rPr>
        <w:tab/>
      </w:r>
      <w:proofErr w:type="spellStart"/>
      <w:r w:rsidRPr="00B35D80">
        <w:rPr>
          <w:rFonts w:cs="Arial"/>
          <w:sz w:val="22"/>
          <w:szCs w:val="22"/>
        </w:rPr>
        <w:t>Muehe</w:t>
      </w:r>
      <w:proofErr w:type="spellEnd"/>
      <w:r w:rsidRPr="00B35D80">
        <w:rPr>
          <w:rFonts w:cs="Arial"/>
          <w:sz w:val="22"/>
          <w:szCs w:val="22"/>
        </w:rPr>
        <w:t xml:space="preserve"> AM, </w:t>
      </w:r>
      <w:proofErr w:type="spellStart"/>
      <w:r w:rsidRPr="00B35D80">
        <w:rPr>
          <w:rFonts w:cs="Arial"/>
          <w:sz w:val="22"/>
          <w:szCs w:val="22"/>
        </w:rPr>
        <w:t>Theruvath</w:t>
      </w:r>
      <w:proofErr w:type="spellEnd"/>
      <w:r w:rsidRPr="00B35D80">
        <w:rPr>
          <w:rFonts w:cs="Arial"/>
          <w:sz w:val="22"/>
          <w:szCs w:val="22"/>
        </w:rPr>
        <w:t xml:space="preserve"> AJ, </w:t>
      </w:r>
      <w:proofErr w:type="spellStart"/>
      <w:r w:rsidRPr="00B35D80">
        <w:rPr>
          <w:rFonts w:cs="Arial"/>
          <w:sz w:val="22"/>
          <w:szCs w:val="22"/>
        </w:rPr>
        <w:t>Yerneni</w:t>
      </w:r>
      <w:proofErr w:type="spellEnd"/>
      <w:r w:rsidRPr="00B35D80">
        <w:rPr>
          <w:rFonts w:cs="Arial"/>
          <w:sz w:val="22"/>
          <w:szCs w:val="22"/>
        </w:rPr>
        <w:t xml:space="preserve"> K, </w:t>
      </w:r>
      <w:proofErr w:type="spellStart"/>
      <w:r w:rsidRPr="00B35D80">
        <w:rPr>
          <w:rFonts w:cs="Arial"/>
          <w:sz w:val="22"/>
          <w:szCs w:val="22"/>
        </w:rPr>
        <w:t>Thakor</w:t>
      </w:r>
      <w:proofErr w:type="spellEnd"/>
      <w:r w:rsidRPr="00B35D80">
        <w:rPr>
          <w:rFonts w:cs="Arial"/>
          <w:sz w:val="22"/>
          <w:szCs w:val="22"/>
        </w:rPr>
        <w:t xml:space="preserve"> A, </w:t>
      </w:r>
      <w:proofErr w:type="spellStart"/>
      <w:r w:rsidRPr="00B35D80">
        <w:rPr>
          <w:rFonts w:cs="Arial"/>
          <w:sz w:val="22"/>
          <w:szCs w:val="22"/>
        </w:rPr>
        <w:t>Pribnow</w:t>
      </w:r>
      <w:proofErr w:type="spellEnd"/>
      <w:r w:rsidRPr="00B35D80">
        <w:rPr>
          <w:rFonts w:cs="Arial"/>
          <w:sz w:val="22"/>
          <w:szCs w:val="22"/>
        </w:rPr>
        <w:t xml:space="preserve"> A, </w:t>
      </w:r>
      <w:proofErr w:type="spellStart"/>
      <w:r w:rsidRPr="00B35D80">
        <w:rPr>
          <w:rFonts w:cs="Arial"/>
          <w:sz w:val="22"/>
          <w:szCs w:val="22"/>
        </w:rPr>
        <w:t>Avedian</w:t>
      </w:r>
      <w:proofErr w:type="spellEnd"/>
      <w:r w:rsidRPr="00B35D80">
        <w:rPr>
          <w:rFonts w:cs="Arial"/>
          <w:sz w:val="22"/>
          <w:szCs w:val="22"/>
        </w:rPr>
        <w:t xml:space="preserve"> R, </w:t>
      </w:r>
      <w:r w:rsidRPr="00B35D80">
        <w:rPr>
          <w:rFonts w:cs="Arial"/>
          <w:b/>
          <w:sz w:val="22"/>
          <w:szCs w:val="22"/>
          <w:u w:val="single"/>
        </w:rPr>
        <w:t>Steffner R</w:t>
      </w:r>
      <w:r w:rsidRPr="00B35D80">
        <w:rPr>
          <w:rFonts w:cs="Arial"/>
          <w:sz w:val="22"/>
          <w:szCs w:val="22"/>
        </w:rPr>
        <w:t xml:space="preserve">, Rosenberg J, Liang T, Hawk K, </w:t>
      </w:r>
      <w:proofErr w:type="spellStart"/>
      <w:r w:rsidRPr="00B35D80">
        <w:rPr>
          <w:rFonts w:cs="Arial"/>
          <w:sz w:val="22"/>
          <w:szCs w:val="22"/>
        </w:rPr>
        <w:t>Daldrup</w:t>
      </w:r>
      <w:proofErr w:type="spellEnd"/>
      <w:r w:rsidRPr="00B35D80">
        <w:rPr>
          <w:rFonts w:cs="Arial"/>
          <w:sz w:val="22"/>
          <w:szCs w:val="22"/>
        </w:rPr>
        <w:t xml:space="preserve">-Link HE. </w:t>
      </w:r>
      <w:proofErr w:type="spellStart"/>
      <w:r w:rsidRPr="00B35D80">
        <w:rPr>
          <w:rFonts w:cs="Arial"/>
          <w:sz w:val="22"/>
          <w:szCs w:val="22"/>
        </w:rPr>
        <w:t>Ferumoxytol</w:t>
      </w:r>
      <w:proofErr w:type="spellEnd"/>
      <w:r w:rsidRPr="00B35D80">
        <w:rPr>
          <w:rFonts w:cs="Arial"/>
          <w:sz w:val="22"/>
          <w:szCs w:val="22"/>
        </w:rPr>
        <w:t xml:space="preserve"> Does Not Impact SUV Values on PET/MR Scans. </w:t>
      </w:r>
      <w:proofErr w:type="spellStart"/>
      <w:r w:rsidRPr="00B35D80">
        <w:rPr>
          <w:rFonts w:cs="Arial"/>
          <w:sz w:val="22"/>
          <w:szCs w:val="22"/>
        </w:rPr>
        <w:t>Mol</w:t>
      </w:r>
      <w:proofErr w:type="spellEnd"/>
      <w:r w:rsidRPr="00B35D80">
        <w:rPr>
          <w:rFonts w:cs="Arial"/>
          <w:sz w:val="22"/>
          <w:szCs w:val="22"/>
        </w:rPr>
        <w:t xml:space="preserve"> Imaging Biol. 2020 Jun</w:t>
      </w:r>
      <w:proofErr w:type="gramStart"/>
      <w:r w:rsidRPr="00B35D80">
        <w:rPr>
          <w:rFonts w:cs="Arial"/>
          <w:sz w:val="22"/>
          <w:szCs w:val="22"/>
        </w:rPr>
        <w:t>;22</w:t>
      </w:r>
      <w:proofErr w:type="gramEnd"/>
      <w:r w:rsidRPr="00B35D80">
        <w:rPr>
          <w:rFonts w:cs="Arial"/>
          <w:sz w:val="22"/>
          <w:szCs w:val="22"/>
        </w:rPr>
        <w:t>(3):722-729.</w:t>
      </w:r>
    </w:p>
    <w:p w14:paraId="285393CB" w14:textId="580DD240" w:rsidR="00C718DC" w:rsidRPr="00580E7A" w:rsidRDefault="004F1A43" w:rsidP="00580E7A">
      <w:pPr>
        <w:pStyle w:val="ListParagraph"/>
        <w:numPr>
          <w:ilvl w:val="0"/>
          <w:numId w:val="5"/>
        </w:numPr>
        <w:rPr>
          <w:rFonts w:cs="Latha"/>
          <w:sz w:val="22"/>
          <w:szCs w:val="22"/>
        </w:rPr>
      </w:pPr>
      <w:r w:rsidRPr="00B35D80">
        <w:rPr>
          <w:rFonts w:cs="Arial"/>
          <w:sz w:val="22"/>
          <w:szCs w:val="22"/>
        </w:rPr>
        <w:t>2020</w:t>
      </w:r>
      <w:r w:rsidRPr="00B35D80">
        <w:rPr>
          <w:rFonts w:cs="Arial"/>
          <w:sz w:val="22"/>
          <w:szCs w:val="22"/>
        </w:rPr>
        <w:tab/>
      </w:r>
      <w:r w:rsidR="00580E7A" w:rsidRPr="00B35D80">
        <w:rPr>
          <w:rFonts w:cs="Arial"/>
          <w:sz w:val="22"/>
          <w:szCs w:val="22"/>
        </w:rPr>
        <w:t xml:space="preserve">Chen EL, </w:t>
      </w:r>
      <w:proofErr w:type="spellStart"/>
      <w:r w:rsidR="00580E7A" w:rsidRPr="00B35D80">
        <w:rPr>
          <w:rFonts w:cs="Arial"/>
          <w:sz w:val="22"/>
          <w:szCs w:val="22"/>
        </w:rPr>
        <w:t>Yoo</w:t>
      </w:r>
      <w:proofErr w:type="spellEnd"/>
      <w:r w:rsidR="00580E7A" w:rsidRPr="00B35D80">
        <w:rPr>
          <w:rFonts w:cs="Arial"/>
          <w:sz w:val="22"/>
          <w:szCs w:val="22"/>
        </w:rPr>
        <w:t xml:space="preserve"> CH, </w:t>
      </w:r>
      <w:proofErr w:type="spellStart"/>
      <w:r w:rsidR="00580E7A" w:rsidRPr="00B35D80">
        <w:rPr>
          <w:rFonts w:cs="Arial"/>
          <w:sz w:val="22"/>
          <w:szCs w:val="22"/>
        </w:rPr>
        <w:t>Gutkin</w:t>
      </w:r>
      <w:proofErr w:type="spellEnd"/>
      <w:r w:rsidR="00580E7A" w:rsidRPr="00B35D80">
        <w:rPr>
          <w:rFonts w:cs="Arial"/>
          <w:sz w:val="22"/>
          <w:szCs w:val="22"/>
        </w:rPr>
        <w:t xml:space="preserve"> PM, </w:t>
      </w:r>
      <w:proofErr w:type="spellStart"/>
      <w:r w:rsidR="00580E7A" w:rsidRPr="00B35D80">
        <w:rPr>
          <w:rFonts w:cs="Arial"/>
          <w:sz w:val="22"/>
          <w:szCs w:val="22"/>
        </w:rPr>
        <w:t>Merriott</w:t>
      </w:r>
      <w:proofErr w:type="spellEnd"/>
      <w:r w:rsidR="00580E7A" w:rsidRPr="00B35D80">
        <w:rPr>
          <w:rFonts w:cs="Arial"/>
          <w:sz w:val="22"/>
          <w:szCs w:val="22"/>
        </w:rPr>
        <w:t xml:space="preserve"> DJ, </w:t>
      </w:r>
      <w:proofErr w:type="spellStart"/>
      <w:r w:rsidR="00580E7A" w:rsidRPr="00B35D80">
        <w:rPr>
          <w:rFonts w:cs="Arial"/>
          <w:sz w:val="22"/>
          <w:szCs w:val="22"/>
        </w:rPr>
        <w:t>Avedian</w:t>
      </w:r>
      <w:proofErr w:type="spellEnd"/>
      <w:r w:rsidR="00580E7A" w:rsidRPr="00B35D80">
        <w:rPr>
          <w:rFonts w:cs="Arial"/>
          <w:sz w:val="22"/>
          <w:szCs w:val="22"/>
        </w:rPr>
        <w:t xml:space="preserve"> RS</w:t>
      </w:r>
      <w:r w:rsidR="00580E7A" w:rsidRPr="00580E7A">
        <w:rPr>
          <w:rFonts w:cs="Latha"/>
          <w:sz w:val="22"/>
          <w:szCs w:val="22"/>
        </w:rPr>
        <w:t xml:space="preserve">, </w:t>
      </w:r>
      <w:r w:rsidR="00580E7A" w:rsidRPr="00580E7A">
        <w:rPr>
          <w:rFonts w:cs="Latha"/>
          <w:b/>
          <w:sz w:val="22"/>
          <w:szCs w:val="22"/>
          <w:u w:val="single"/>
        </w:rPr>
        <w:t>Steffner R</w:t>
      </w:r>
      <w:r>
        <w:rPr>
          <w:rFonts w:cs="Latha"/>
          <w:b/>
          <w:sz w:val="22"/>
          <w:szCs w:val="22"/>
          <w:u w:val="single"/>
        </w:rPr>
        <w:t>J</w:t>
      </w:r>
      <w:r w:rsidR="00580E7A" w:rsidRPr="00580E7A">
        <w:rPr>
          <w:rFonts w:cs="Latha"/>
          <w:sz w:val="22"/>
          <w:szCs w:val="22"/>
        </w:rPr>
        <w:t xml:space="preserve">, </w:t>
      </w:r>
      <w:proofErr w:type="spellStart"/>
      <w:r w:rsidR="00580E7A" w:rsidRPr="00580E7A">
        <w:rPr>
          <w:rFonts w:cs="Latha"/>
          <w:sz w:val="22"/>
          <w:szCs w:val="22"/>
        </w:rPr>
        <w:t>Spunt</w:t>
      </w:r>
      <w:proofErr w:type="spellEnd"/>
      <w:r w:rsidR="00580E7A" w:rsidRPr="00580E7A">
        <w:rPr>
          <w:rFonts w:cs="Latha"/>
          <w:sz w:val="22"/>
          <w:szCs w:val="22"/>
        </w:rPr>
        <w:t xml:space="preserve"> SL, </w:t>
      </w:r>
      <w:proofErr w:type="spellStart"/>
      <w:r w:rsidR="00580E7A" w:rsidRPr="00580E7A">
        <w:rPr>
          <w:rFonts w:cs="Latha"/>
          <w:sz w:val="22"/>
          <w:szCs w:val="22"/>
        </w:rPr>
        <w:t>Pribnow</w:t>
      </w:r>
      <w:proofErr w:type="spellEnd"/>
      <w:r w:rsidR="00580E7A" w:rsidRPr="00580E7A">
        <w:rPr>
          <w:rFonts w:cs="Latha"/>
          <w:sz w:val="22"/>
          <w:szCs w:val="22"/>
        </w:rPr>
        <w:t xml:space="preserve"> AK, Million L, Donaldson SS, </w:t>
      </w:r>
      <w:proofErr w:type="spellStart"/>
      <w:r w:rsidR="00580E7A" w:rsidRPr="00580E7A">
        <w:rPr>
          <w:rFonts w:cs="Latha"/>
          <w:sz w:val="22"/>
          <w:szCs w:val="22"/>
        </w:rPr>
        <w:t>Hin</w:t>
      </w:r>
      <w:bookmarkStart w:id="0" w:name="_GoBack"/>
      <w:bookmarkEnd w:id="0"/>
      <w:r w:rsidR="00580E7A" w:rsidRPr="00580E7A">
        <w:rPr>
          <w:rFonts w:cs="Latha"/>
          <w:sz w:val="22"/>
          <w:szCs w:val="22"/>
        </w:rPr>
        <w:t>iker</w:t>
      </w:r>
      <w:proofErr w:type="spellEnd"/>
      <w:r w:rsidR="00580E7A" w:rsidRPr="00580E7A">
        <w:rPr>
          <w:rFonts w:cs="Latha"/>
          <w:sz w:val="22"/>
          <w:szCs w:val="22"/>
        </w:rPr>
        <w:t xml:space="preserve"> SM. Outcomes for Pediatric Patients wi</w:t>
      </w:r>
      <w:r w:rsidR="00580E7A">
        <w:rPr>
          <w:rFonts w:cs="Latha"/>
          <w:sz w:val="22"/>
          <w:szCs w:val="22"/>
        </w:rPr>
        <w:t xml:space="preserve">th Osteosarcoma Treated with </w:t>
      </w:r>
      <w:r w:rsidR="00580E7A" w:rsidRPr="00580E7A">
        <w:rPr>
          <w:rFonts w:cs="Latha"/>
          <w:sz w:val="22"/>
          <w:szCs w:val="22"/>
        </w:rPr>
        <w:t xml:space="preserve">Palliative Radiotherapy. </w:t>
      </w:r>
      <w:proofErr w:type="spellStart"/>
      <w:r w:rsidR="00580E7A" w:rsidRPr="00580E7A">
        <w:rPr>
          <w:rFonts w:cs="Latha"/>
          <w:sz w:val="22"/>
          <w:szCs w:val="22"/>
        </w:rPr>
        <w:t>Pediatr</w:t>
      </w:r>
      <w:proofErr w:type="spellEnd"/>
      <w:r w:rsidR="00580E7A" w:rsidRPr="00580E7A">
        <w:rPr>
          <w:rFonts w:cs="Latha"/>
          <w:sz w:val="22"/>
          <w:szCs w:val="22"/>
        </w:rPr>
        <w:t xml:space="preserve"> Blood Cancer. 2020 Jan</w:t>
      </w:r>
      <w:proofErr w:type="gramStart"/>
      <w:r w:rsidR="00580E7A" w:rsidRPr="00580E7A">
        <w:rPr>
          <w:rFonts w:cs="Latha"/>
          <w:sz w:val="22"/>
          <w:szCs w:val="22"/>
        </w:rPr>
        <w:t>;67</w:t>
      </w:r>
      <w:proofErr w:type="gramEnd"/>
      <w:r w:rsidR="00580E7A" w:rsidRPr="00580E7A">
        <w:rPr>
          <w:rFonts w:cs="Latha"/>
          <w:sz w:val="22"/>
          <w:szCs w:val="22"/>
        </w:rPr>
        <w:t>(1):e27967.</w:t>
      </w:r>
    </w:p>
    <w:p w14:paraId="29598AB8" w14:textId="2547B52A" w:rsidR="00C718DC" w:rsidRPr="00580E7A" w:rsidRDefault="00580E7A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580E7A">
        <w:rPr>
          <w:rFonts w:cs="Latha"/>
          <w:sz w:val="22"/>
          <w:szCs w:val="22"/>
        </w:rPr>
        <w:t>2019</w:t>
      </w:r>
      <w:r w:rsidRPr="00580E7A">
        <w:rPr>
          <w:rFonts w:cs="Latha"/>
          <w:sz w:val="22"/>
          <w:szCs w:val="22"/>
        </w:rPr>
        <w:tab/>
        <w:t xml:space="preserve">Campbell ST, </w:t>
      </w:r>
      <w:r w:rsidRPr="00580E7A">
        <w:rPr>
          <w:rFonts w:cs="Latha"/>
          <w:b/>
          <w:sz w:val="22"/>
          <w:szCs w:val="22"/>
          <w:u w:val="single"/>
        </w:rPr>
        <w:t>Steffner R</w:t>
      </w:r>
      <w:r w:rsidR="004F1A43">
        <w:rPr>
          <w:rFonts w:cs="Latha"/>
          <w:b/>
          <w:sz w:val="22"/>
          <w:szCs w:val="22"/>
          <w:u w:val="single"/>
        </w:rPr>
        <w:t>J</w:t>
      </w:r>
      <w:r w:rsidRPr="00580E7A">
        <w:rPr>
          <w:rFonts w:cs="Latha"/>
          <w:sz w:val="22"/>
          <w:szCs w:val="22"/>
        </w:rPr>
        <w:t xml:space="preserve">, Finlay A, </w:t>
      </w:r>
      <w:proofErr w:type="spellStart"/>
      <w:r w:rsidRPr="00580E7A">
        <w:rPr>
          <w:rFonts w:cs="Latha"/>
          <w:sz w:val="22"/>
          <w:szCs w:val="22"/>
        </w:rPr>
        <w:t>Mohler</w:t>
      </w:r>
      <w:proofErr w:type="spellEnd"/>
      <w:r w:rsidRPr="00580E7A">
        <w:rPr>
          <w:rFonts w:cs="Latha"/>
          <w:sz w:val="22"/>
          <w:szCs w:val="22"/>
        </w:rPr>
        <w:t xml:space="preserve"> DG, </w:t>
      </w:r>
      <w:proofErr w:type="spellStart"/>
      <w:r w:rsidRPr="00580E7A">
        <w:rPr>
          <w:rFonts w:cs="Latha"/>
          <w:sz w:val="22"/>
          <w:szCs w:val="22"/>
        </w:rPr>
        <w:t>Avedian</w:t>
      </w:r>
      <w:proofErr w:type="spellEnd"/>
      <w:r w:rsidRPr="00580E7A">
        <w:rPr>
          <w:rFonts w:cs="Latha"/>
          <w:sz w:val="22"/>
          <w:szCs w:val="22"/>
        </w:rPr>
        <w:t xml:space="preserve"> RS. Anti-rotation Pins for the Compress Implant do not Increase Risk of </w:t>
      </w:r>
      <w:proofErr w:type="spellStart"/>
      <w:r w:rsidRPr="00580E7A">
        <w:rPr>
          <w:rFonts w:cs="Latha"/>
          <w:sz w:val="22"/>
          <w:szCs w:val="22"/>
        </w:rPr>
        <w:t>Mechnaical</w:t>
      </w:r>
      <w:proofErr w:type="spellEnd"/>
      <w:r w:rsidRPr="00580E7A">
        <w:rPr>
          <w:rFonts w:cs="Latha"/>
          <w:sz w:val="22"/>
          <w:szCs w:val="22"/>
        </w:rPr>
        <w:t xml:space="preserve"> Failure or Impair </w:t>
      </w:r>
      <w:proofErr w:type="spellStart"/>
      <w:r w:rsidRPr="00580E7A">
        <w:rPr>
          <w:rFonts w:cs="Latha"/>
          <w:sz w:val="22"/>
          <w:szCs w:val="22"/>
        </w:rPr>
        <w:t>Osseointegration</w:t>
      </w:r>
      <w:proofErr w:type="spellEnd"/>
      <w:r w:rsidRPr="00580E7A">
        <w:rPr>
          <w:rFonts w:cs="Latha"/>
          <w:sz w:val="22"/>
          <w:szCs w:val="22"/>
        </w:rPr>
        <w:t>. Ann Joint. 2019</w:t>
      </w:r>
      <w:proofErr w:type="gramStart"/>
      <w:r w:rsidRPr="00580E7A">
        <w:rPr>
          <w:rFonts w:cs="Latha"/>
          <w:sz w:val="22"/>
          <w:szCs w:val="22"/>
        </w:rPr>
        <w:t>;4:32</w:t>
      </w:r>
      <w:proofErr w:type="gramEnd"/>
      <w:r w:rsidRPr="00580E7A">
        <w:rPr>
          <w:rFonts w:cs="Latha"/>
          <w:sz w:val="22"/>
          <w:szCs w:val="22"/>
        </w:rPr>
        <w:t>.</w:t>
      </w:r>
    </w:p>
    <w:p w14:paraId="7F06C943" w14:textId="563106A2" w:rsidR="00C718DC" w:rsidRPr="00C718DC" w:rsidRDefault="00C718DC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2019</w:t>
      </w:r>
      <w:r>
        <w:rPr>
          <w:rFonts w:cs="Arial"/>
          <w:sz w:val="22"/>
          <w:szCs w:val="22"/>
        </w:rPr>
        <w:tab/>
        <w:t xml:space="preserve">Ma W, Sun L, </w:t>
      </w:r>
      <w:proofErr w:type="spellStart"/>
      <w:r>
        <w:rPr>
          <w:rFonts w:cs="Arial"/>
          <w:sz w:val="22"/>
          <w:szCs w:val="22"/>
        </w:rPr>
        <w:t>Ngai</w:t>
      </w:r>
      <w:proofErr w:type="spellEnd"/>
      <w:r>
        <w:rPr>
          <w:rFonts w:cs="Arial"/>
          <w:sz w:val="22"/>
          <w:szCs w:val="22"/>
        </w:rPr>
        <w:t xml:space="preserve"> L, </w:t>
      </w:r>
      <w:proofErr w:type="spellStart"/>
      <w:r>
        <w:rPr>
          <w:rFonts w:cs="Arial"/>
          <w:sz w:val="22"/>
          <w:szCs w:val="22"/>
        </w:rPr>
        <w:t>Costouros</w:t>
      </w:r>
      <w:proofErr w:type="spellEnd"/>
      <w:r>
        <w:rPr>
          <w:rFonts w:cs="Arial"/>
          <w:sz w:val="22"/>
          <w:szCs w:val="22"/>
        </w:rPr>
        <w:t xml:space="preserve"> JG, </w:t>
      </w:r>
      <w:r w:rsidRPr="00C718DC">
        <w:rPr>
          <w:rFonts w:cs="Arial"/>
          <w:b/>
          <w:sz w:val="22"/>
          <w:szCs w:val="22"/>
          <w:u w:val="single"/>
        </w:rPr>
        <w:t>Steffner R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Boublik</w:t>
      </w:r>
      <w:proofErr w:type="spellEnd"/>
      <w:r>
        <w:rPr>
          <w:rFonts w:cs="Arial"/>
          <w:sz w:val="22"/>
          <w:szCs w:val="22"/>
        </w:rPr>
        <w:t xml:space="preserve"> J, </w:t>
      </w:r>
      <w:proofErr w:type="spellStart"/>
      <w:r>
        <w:rPr>
          <w:rFonts w:cs="Arial"/>
          <w:sz w:val="22"/>
          <w:szCs w:val="22"/>
        </w:rPr>
        <w:t>Tsui</w:t>
      </w:r>
      <w:proofErr w:type="spellEnd"/>
      <w:r>
        <w:rPr>
          <w:rFonts w:cs="Arial"/>
          <w:sz w:val="22"/>
          <w:szCs w:val="22"/>
        </w:rPr>
        <w:t xml:space="preserve"> BCH. Motor-sparing High-Thoracic Erector </w:t>
      </w:r>
      <w:proofErr w:type="spellStart"/>
      <w:r>
        <w:rPr>
          <w:rFonts w:cs="Arial"/>
          <w:sz w:val="22"/>
          <w:szCs w:val="22"/>
        </w:rPr>
        <w:t>Spinae</w:t>
      </w:r>
      <w:proofErr w:type="spellEnd"/>
      <w:r>
        <w:rPr>
          <w:rFonts w:cs="Arial"/>
          <w:sz w:val="22"/>
          <w:szCs w:val="22"/>
        </w:rPr>
        <w:t xml:space="preserve"> Plane Block for Proximal </w:t>
      </w:r>
      <w:proofErr w:type="spellStart"/>
      <w:r>
        <w:rPr>
          <w:rFonts w:cs="Arial"/>
          <w:sz w:val="22"/>
          <w:szCs w:val="22"/>
        </w:rPr>
        <w:t>Humerus</w:t>
      </w:r>
      <w:proofErr w:type="spellEnd"/>
      <w:r>
        <w:rPr>
          <w:rFonts w:cs="Arial"/>
          <w:sz w:val="22"/>
          <w:szCs w:val="22"/>
        </w:rPr>
        <w:t xml:space="preserve"> Surgery and Total Shoulder </w:t>
      </w:r>
      <w:proofErr w:type="spellStart"/>
      <w:r>
        <w:rPr>
          <w:rFonts w:cs="Arial"/>
          <w:sz w:val="22"/>
          <w:szCs w:val="22"/>
        </w:rPr>
        <w:t>Arthroplasty</w:t>
      </w:r>
      <w:proofErr w:type="spellEnd"/>
      <w:r>
        <w:rPr>
          <w:rFonts w:cs="Arial"/>
          <w:sz w:val="22"/>
          <w:szCs w:val="22"/>
        </w:rPr>
        <w:t xml:space="preserve"> Surgery: Clinical Evidence for Differential Peripheral Nerve Block? Can J </w:t>
      </w:r>
      <w:proofErr w:type="spellStart"/>
      <w:r>
        <w:rPr>
          <w:rFonts w:cs="Arial"/>
          <w:sz w:val="22"/>
          <w:szCs w:val="22"/>
        </w:rPr>
        <w:t>Anaesth</w:t>
      </w:r>
      <w:proofErr w:type="spellEnd"/>
      <w:r>
        <w:rPr>
          <w:rFonts w:cs="Arial"/>
          <w:sz w:val="22"/>
          <w:szCs w:val="22"/>
        </w:rPr>
        <w:t>. 2019 Oc</w:t>
      </w:r>
      <w:proofErr w:type="gramStart"/>
      <w:r>
        <w:rPr>
          <w:rFonts w:cs="Arial"/>
          <w:sz w:val="22"/>
          <w:szCs w:val="22"/>
        </w:rPr>
        <w:t>;66</w:t>
      </w:r>
      <w:proofErr w:type="gramEnd"/>
      <w:r>
        <w:rPr>
          <w:rFonts w:cs="Arial"/>
          <w:sz w:val="22"/>
          <w:szCs w:val="22"/>
        </w:rPr>
        <w:t>(10):1274-1275</w:t>
      </w:r>
    </w:p>
    <w:p w14:paraId="258B36F6" w14:textId="17A765E4" w:rsidR="006721D8" w:rsidRPr="00F56175" w:rsidRDefault="006721D8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2019</w:t>
      </w:r>
      <w:r>
        <w:rPr>
          <w:rFonts w:cs="Arial"/>
          <w:sz w:val="22"/>
          <w:szCs w:val="22"/>
        </w:rPr>
        <w:tab/>
        <w:t xml:space="preserve">Mertz K, </w:t>
      </w:r>
      <w:proofErr w:type="spellStart"/>
      <w:r>
        <w:rPr>
          <w:rFonts w:cs="Arial"/>
          <w:sz w:val="22"/>
          <w:szCs w:val="22"/>
        </w:rPr>
        <w:t>Eppler</w:t>
      </w:r>
      <w:proofErr w:type="spellEnd"/>
      <w:r>
        <w:rPr>
          <w:rFonts w:cs="Arial"/>
          <w:sz w:val="22"/>
          <w:szCs w:val="22"/>
        </w:rPr>
        <w:t xml:space="preserve"> SL, Thomas K, </w:t>
      </w:r>
      <w:proofErr w:type="spellStart"/>
      <w:r>
        <w:rPr>
          <w:rFonts w:cs="Arial"/>
          <w:sz w:val="22"/>
          <w:szCs w:val="22"/>
        </w:rPr>
        <w:t>Alokozai</w:t>
      </w:r>
      <w:proofErr w:type="spellEnd"/>
      <w:r>
        <w:rPr>
          <w:rFonts w:cs="Arial"/>
          <w:sz w:val="22"/>
          <w:szCs w:val="22"/>
        </w:rPr>
        <w:t xml:space="preserve"> A, Yao J, </w:t>
      </w:r>
      <w:proofErr w:type="spellStart"/>
      <w:r>
        <w:rPr>
          <w:rFonts w:cs="Arial"/>
          <w:sz w:val="22"/>
          <w:szCs w:val="22"/>
        </w:rPr>
        <w:t>Amanatullah</w:t>
      </w:r>
      <w:proofErr w:type="spellEnd"/>
      <w:r>
        <w:rPr>
          <w:rFonts w:cs="Arial"/>
          <w:sz w:val="22"/>
          <w:szCs w:val="22"/>
        </w:rPr>
        <w:t xml:space="preserve"> D, Chou L, Wood KB, </w:t>
      </w:r>
      <w:r w:rsidRPr="00F56175">
        <w:rPr>
          <w:rFonts w:cs="Arial"/>
          <w:b/>
          <w:sz w:val="22"/>
          <w:szCs w:val="22"/>
          <w:u w:val="single"/>
        </w:rPr>
        <w:t>Steffner R</w:t>
      </w:r>
      <w:r>
        <w:rPr>
          <w:rFonts w:cs="Arial"/>
          <w:sz w:val="22"/>
          <w:szCs w:val="22"/>
        </w:rPr>
        <w:t xml:space="preserve">, Gardner M, Kamal RN. The Association of Financial Distress with Disability in </w:t>
      </w:r>
      <w:proofErr w:type="spellStart"/>
      <w:r>
        <w:rPr>
          <w:rFonts w:cs="Arial"/>
          <w:sz w:val="22"/>
          <w:szCs w:val="22"/>
        </w:rPr>
        <w:t>Orthopaedic</w:t>
      </w:r>
      <w:proofErr w:type="spellEnd"/>
      <w:r>
        <w:rPr>
          <w:rFonts w:cs="Arial"/>
          <w:sz w:val="22"/>
          <w:szCs w:val="22"/>
        </w:rPr>
        <w:t xml:space="preserve"> Surgery. J Am </w:t>
      </w:r>
      <w:proofErr w:type="spellStart"/>
      <w:r>
        <w:rPr>
          <w:rFonts w:cs="Arial"/>
          <w:sz w:val="22"/>
          <w:szCs w:val="22"/>
        </w:rPr>
        <w:t>Acad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Orthop</w:t>
      </w:r>
      <w:proofErr w:type="spellEnd"/>
      <w:r>
        <w:rPr>
          <w:rFonts w:cs="Arial"/>
          <w:sz w:val="22"/>
          <w:szCs w:val="22"/>
        </w:rPr>
        <w:t xml:space="preserve"> Surg. 2019 Jun</w:t>
      </w:r>
      <w:proofErr w:type="gramStart"/>
      <w:r w:rsidR="00F56175">
        <w:rPr>
          <w:rFonts w:cs="Arial"/>
          <w:sz w:val="22"/>
          <w:szCs w:val="22"/>
        </w:rPr>
        <w:t>;27</w:t>
      </w:r>
      <w:proofErr w:type="gramEnd"/>
      <w:r w:rsidR="00F56175">
        <w:rPr>
          <w:rFonts w:cs="Arial"/>
          <w:sz w:val="22"/>
          <w:szCs w:val="22"/>
        </w:rPr>
        <w:t>(11):e522-e528.</w:t>
      </w:r>
    </w:p>
    <w:p w14:paraId="3C295168" w14:textId="59AC2BDF" w:rsidR="00F56175" w:rsidRPr="006721D8" w:rsidRDefault="00F56175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2019</w:t>
      </w:r>
      <w:r>
        <w:rPr>
          <w:rFonts w:cs="Arial"/>
          <w:sz w:val="22"/>
          <w:szCs w:val="22"/>
        </w:rPr>
        <w:tab/>
      </w:r>
      <w:r w:rsidRPr="00F56175">
        <w:rPr>
          <w:rFonts w:cs="Arial"/>
          <w:b/>
          <w:sz w:val="22"/>
          <w:szCs w:val="22"/>
          <w:u w:val="single"/>
        </w:rPr>
        <w:t>Steffner RJ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Spiguel</w:t>
      </w:r>
      <w:proofErr w:type="spellEnd"/>
      <w:r>
        <w:rPr>
          <w:rFonts w:cs="Arial"/>
          <w:sz w:val="22"/>
          <w:szCs w:val="22"/>
        </w:rPr>
        <w:t xml:space="preserve"> AR, </w:t>
      </w:r>
      <w:proofErr w:type="spellStart"/>
      <w:r>
        <w:rPr>
          <w:rFonts w:cs="Arial"/>
          <w:sz w:val="22"/>
          <w:szCs w:val="22"/>
        </w:rPr>
        <w:t>Balach</w:t>
      </w:r>
      <w:proofErr w:type="spellEnd"/>
      <w:r>
        <w:rPr>
          <w:rFonts w:cs="Arial"/>
          <w:sz w:val="22"/>
          <w:szCs w:val="22"/>
        </w:rPr>
        <w:t xml:space="preserve"> T. Pathologic Fractures (Ed Bruce Browner). In Skeletal Trauma  (Sixth Edition). Philadelphia, PA: Elsevier</w:t>
      </w:r>
    </w:p>
    <w:p w14:paraId="04307905" w14:textId="61D73AFD" w:rsidR="006721D8" w:rsidRPr="006721D8" w:rsidRDefault="006721D8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bCs/>
          <w:color w:val="1A1A1A"/>
          <w:sz w:val="22"/>
          <w:szCs w:val="22"/>
        </w:rPr>
        <w:t xml:space="preserve">2018 </w:t>
      </w:r>
      <w:r>
        <w:rPr>
          <w:rFonts w:cs="Arial"/>
          <w:bCs/>
          <w:color w:val="1A1A1A"/>
          <w:sz w:val="22"/>
          <w:szCs w:val="22"/>
        </w:rPr>
        <w:tab/>
      </w:r>
      <w:r w:rsidR="00C87825">
        <w:rPr>
          <w:rFonts w:cs="Arial"/>
          <w:bCs/>
          <w:color w:val="1A1A1A"/>
          <w:sz w:val="22"/>
          <w:szCs w:val="22"/>
        </w:rPr>
        <w:t xml:space="preserve">Mertz K, </w:t>
      </w:r>
      <w:proofErr w:type="spellStart"/>
      <w:r w:rsidR="00C87825">
        <w:rPr>
          <w:rFonts w:cs="Arial"/>
          <w:bCs/>
          <w:color w:val="1A1A1A"/>
          <w:sz w:val="22"/>
          <w:szCs w:val="22"/>
        </w:rPr>
        <w:t>Eppler</w:t>
      </w:r>
      <w:proofErr w:type="spellEnd"/>
      <w:r w:rsidR="00C87825">
        <w:rPr>
          <w:rFonts w:cs="Arial"/>
          <w:bCs/>
          <w:color w:val="1A1A1A"/>
          <w:sz w:val="22"/>
          <w:szCs w:val="22"/>
        </w:rPr>
        <w:t xml:space="preserve"> S, Yao J, </w:t>
      </w:r>
      <w:proofErr w:type="spellStart"/>
      <w:r w:rsidR="00C87825">
        <w:rPr>
          <w:rFonts w:cs="Arial"/>
          <w:bCs/>
          <w:color w:val="1A1A1A"/>
          <w:sz w:val="22"/>
          <w:szCs w:val="22"/>
        </w:rPr>
        <w:t>Amanatullah</w:t>
      </w:r>
      <w:proofErr w:type="spellEnd"/>
      <w:r w:rsidR="00C87825">
        <w:rPr>
          <w:rFonts w:cs="Arial"/>
          <w:bCs/>
          <w:color w:val="1A1A1A"/>
          <w:sz w:val="22"/>
          <w:szCs w:val="22"/>
        </w:rPr>
        <w:t xml:space="preserve"> DF, Chou L, Wood KB, </w:t>
      </w:r>
      <w:proofErr w:type="spellStart"/>
      <w:r w:rsidR="00C87825">
        <w:rPr>
          <w:rFonts w:cs="Arial"/>
          <w:bCs/>
          <w:color w:val="1A1A1A"/>
          <w:sz w:val="22"/>
          <w:szCs w:val="22"/>
        </w:rPr>
        <w:t>Safran</w:t>
      </w:r>
      <w:proofErr w:type="spellEnd"/>
      <w:r w:rsidR="00C87825">
        <w:rPr>
          <w:rFonts w:cs="Arial"/>
          <w:bCs/>
          <w:color w:val="1A1A1A"/>
          <w:sz w:val="22"/>
          <w:szCs w:val="22"/>
        </w:rPr>
        <w:t xml:space="preserve"> M, </w:t>
      </w:r>
      <w:r w:rsidRPr="006721D8">
        <w:rPr>
          <w:rFonts w:cs="Arial"/>
          <w:b/>
          <w:bCs/>
          <w:color w:val="1A1A1A"/>
          <w:sz w:val="22"/>
          <w:szCs w:val="22"/>
          <w:u w:val="single"/>
        </w:rPr>
        <w:t>Steffner R</w:t>
      </w:r>
      <w:r>
        <w:rPr>
          <w:rFonts w:cs="Arial"/>
          <w:bCs/>
          <w:color w:val="1A1A1A"/>
          <w:sz w:val="22"/>
          <w:szCs w:val="22"/>
        </w:rPr>
        <w:t xml:space="preserve">, Gardner MJ, Kamal R. </w:t>
      </w:r>
      <w:proofErr w:type="spellStart"/>
      <w:r>
        <w:rPr>
          <w:rFonts w:cs="Arial"/>
          <w:bCs/>
          <w:color w:val="1A1A1A"/>
          <w:sz w:val="22"/>
          <w:szCs w:val="22"/>
        </w:rPr>
        <w:t>Clin</w:t>
      </w:r>
      <w:proofErr w:type="spellEnd"/>
      <w:r>
        <w:rPr>
          <w:rFonts w:cs="Arial"/>
          <w:bCs/>
          <w:color w:val="1A1A1A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1A1A1A"/>
          <w:sz w:val="22"/>
          <w:szCs w:val="22"/>
        </w:rPr>
        <w:t>Orthop</w:t>
      </w:r>
      <w:proofErr w:type="spellEnd"/>
      <w:r>
        <w:rPr>
          <w:rFonts w:cs="Arial"/>
          <w:bCs/>
          <w:color w:val="1A1A1A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1A1A1A"/>
          <w:sz w:val="22"/>
          <w:szCs w:val="22"/>
        </w:rPr>
        <w:t>Relat</w:t>
      </w:r>
      <w:proofErr w:type="spellEnd"/>
      <w:r>
        <w:rPr>
          <w:rFonts w:cs="Arial"/>
          <w:bCs/>
          <w:color w:val="1A1A1A"/>
          <w:sz w:val="22"/>
          <w:szCs w:val="22"/>
        </w:rPr>
        <w:t xml:space="preserve"> Res. 2018 Sep</w:t>
      </w:r>
      <w:proofErr w:type="gramStart"/>
      <w:r>
        <w:rPr>
          <w:rFonts w:cs="Arial"/>
          <w:bCs/>
          <w:color w:val="1A1A1A"/>
          <w:sz w:val="22"/>
          <w:szCs w:val="22"/>
        </w:rPr>
        <w:t>;476</w:t>
      </w:r>
      <w:proofErr w:type="gramEnd"/>
      <w:r>
        <w:rPr>
          <w:rFonts w:cs="Arial"/>
          <w:bCs/>
          <w:color w:val="1A1A1A"/>
          <w:sz w:val="22"/>
          <w:szCs w:val="22"/>
        </w:rPr>
        <w:t>(9):1859-1865.</w:t>
      </w:r>
    </w:p>
    <w:p w14:paraId="70F15A88" w14:textId="760952DD" w:rsidR="006721D8" w:rsidRPr="00F56175" w:rsidRDefault="006721D8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bCs/>
          <w:color w:val="1A1A1A"/>
          <w:sz w:val="22"/>
          <w:szCs w:val="22"/>
        </w:rPr>
        <w:t xml:space="preserve">2018 </w:t>
      </w:r>
      <w:r>
        <w:rPr>
          <w:rFonts w:cs="Arial"/>
          <w:bCs/>
          <w:color w:val="1A1A1A"/>
          <w:sz w:val="22"/>
          <w:szCs w:val="22"/>
        </w:rPr>
        <w:tab/>
        <w:t xml:space="preserve">Jang E, </w:t>
      </w:r>
      <w:r w:rsidRPr="00F56175">
        <w:rPr>
          <w:rFonts w:cs="Arial"/>
          <w:b/>
          <w:bCs/>
          <w:color w:val="1A1A1A"/>
          <w:sz w:val="22"/>
          <w:szCs w:val="22"/>
          <w:u w:val="single"/>
        </w:rPr>
        <w:t>Steffner R</w:t>
      </w:r>
      <w:r w:rsidR="00F56175">
        <w:rPr>
          <w:rFonts w:cs="Arial"/>
          <w:bCs/>
          <w:color w:val="1A1A1A"/>
          <w:sz w:val="22"/>
          <w:szCs w:val="22"/>
        </w:rPr>
        <w:t xml:space="preserve">. Staging of Bone and Soft Tissue Sarcoma. J </w:t>
      </w:r>
      <w:proofErr w:type="spellStart"/>
      <w:r w:rsidR="00F56175">
        <w:rPr>
          <w:rFonts w:cs="Arial"/>
          <w:bCs/>
          <w:color w:val="1A1A1A"/>
          <w:sz w:val="22"/>
          <w:szCs w:val="22"/>
        </w:rPr>
        <w:t>Amer</w:t>
      </w:r>
      <w:proofErr w:type="spellEnd"/>
      <w:r w:rsidR="00F56175">
        <w:rPr>
          <w:rFonts w:cs="Arial"/>
          <w:bCs/>
          <w:color w:val="1A1A1A"/>
          <w:sz w:val="22"/>
          <w:szCs w:val="22"/>
        </w:rPr>
        <w:t xml:space="preserve"> </w:t>
      </w:r>
      <w:proofErr w:type="spellStart"/>
      <w:r w:rsidR="00F56175">
        <w:rPr>
          <w:rFonts w:cs="Arial"/>
          <w:bCs/>
          <w:color w:val="1A1A1A"/>
          <w:sz w:val="22"/>
          <w:szCs w:val="22"/>
        </w:rPr>
        <w:t>Orthop</w:t>
      </w:r>
      <w:proofErr w:type="spellEnd"/>
      <w:r w:rsidR="00F56175">
        <w:rPr>
          <w:rFonts w:cs="Arial"/>
          <w:bCs/>
          <w:color w:val="1A1A1A"/>
          <w:sz w:val="22"/>
          <w:szCs w:val="22"/>
        </w:rPr>
        <w:t xml:space="preserve"> Surg. 2018 Jul</w:t>
      </w:r>
      <w:proofErr w:type="gramStart"/>
      <w:r w:rsidR="00F56175">
        <w:rPr>
          <w:rFonts w:cs="Arial"/>
          <w:bCs/>
          <w:color w:val="1A1A1A"/>
          <w:sz w:val="22"/>
          <w:szCs w:val="22"/>
        </w:rPr>
        <w:t>;26</w:t>
      </w:r>
      <w:proofErr w:type="gramEnd"/>
      <w:r w:rsidR="00F56175">
        <w:rPr>
          <w:rFonts w:cs="Arial"/>
          <w:bCs/>
          <w:color w:val="1A1A1A"/>
          <w:sz w:val="22"/>
          <w:szCs w:val="22"/>
        </w:rPr>
        <w:t>(13):e269-278.</w:t>
      </w:r>
    </w:p>
    <w:p w14:paraId="0BFCA317" w14:textId="5EBCDA40" w:rsidR="00F56175" w:rsidRPr="006721D8" w:rsidRDefault="00F56175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bCs/>
          <w:color w:val="1A1A1A"/>
          <w:sz w:val="22"/>
          <w:szCs w:val="22"/>
        </w:rPr>
        <w:t xml:space="preserve">2018 </w:t>
      </w:r>
      <w:r>
        <w:rPr>
          <w:rFonts w:cs="Arial"/>
          <w:bCs/>
          <w:color w:val="1A1A1A"/>
          <w:sz w:val="22"/>
          <w:szCs w:val="22"/>
        </w:rPr>
        <w:tab/>
      </w:r>
      <w:r w:rsidRPr="00F56175">
        <w:rPr>
          <w:rFonts w:cs="Arial"/>
          <w:b/>
          <w:bCs/>
          <w:color w:val="1A1A1A"/>
          <w:sz w:val="22"/>
          <w:szCs w:val="22"/>
          <w:u w:val="single"/>
        </w:rPr>
        <w:t>Steffner R</w:t>
      </w:r>
      <w:r>
        <w:rPr>
          <w:rFonts w:cs="Arial"/>
          <w:bCs/>
          <w:color w:val="1A1A1A"/>
          <w:sz w:val="22"/>
          <w:szCs w:val="22"/>
        </w:rPr>
        <w:t xml:space="preserve">, Jang E, </w:t>
      </w:r>
      <w:proofErr w:type="spellStart"/>
      <w:r>
        <w:rPr>
          <w:rFonts w:cs="Arial"/>
          <w:bCs/>
          <w:color w:val="1A1A1A"/>
          <w:sz w:val="22"/>
          <w:szCs w:val="22"/>
        </w:rPr>
        <w:t>Danford</w:t>
      </w:r>
      <w:proofErr w:type="spellEnd"/>
      <w:r>
        <w:rPr>
          <w:rFonts w:cs="Arial"/>
          <w:bCs/>
          <w:color w:val="1A1A1A"/>
          <w:sz w:val="22"/>
          <w:szCs w:val="22"/>
        </w:rPr>
        <w:t xml:space="preserve"> N. Lymphoma of Bone. JBJS Rev. 2018 Jan</w:t>
      </w:r>
      <w:proofErr w:type="gramStart"/>
      <w:r>
        <w:rPr>
          <w:rFonts w:cs="Arial"/>
          <w:bCs/>
          <w:color w:val="1A1A1A"/>
          <w:sz w:val="22"/>
          <w:szCs w:val="22"/>
        </w:rPr>
        <w:t>;6</w:t>
      </w:r>
      <w:proofErr w:type="gramEnd"/>
      <w:r>
        <w:rPr>
          <w:rFonts w:cs="Arial"/>
          <w:bCs/>
          <w:color w:val="1A1A1A"/>
          <w:sz w:val="22"/>
          <w:szCs w:val="22"/>
        </w:rPr>
        <w:t>(1):e1.</w:t>
      </w:r>
    </w:p>
    <w:p w14:paraId="7E1F408D" w14:textId="78975CFC" w:rsidR="00DB4EB4" w:rsidRPr="00DB4EB4" w:rsidRDefault="006721D8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  <w:bCs/>
          <w:color w:val="1A1A1A"/>
          <w:sz w:val="22"/>
          <w:szCs w:val="22"/>
        </w:rPr>
        <w:t>2018</w:t>
      </w:r>
      <w:r w:rsidR="00DB4EB4" w:rsidRPr="00DB4EB4">
        <w:rPr>
          <w:rFonts w:cs="Arial"/>
          <w:bCs/>
          <w:color w:val="1A1A1A"/>
          <w:sz w:val="22"/>
          <w:szCs w:val="22"/>
        </w:rPr>
        <w:tab/>
      </w:r>
      <w:r w:rsidR="00DB4EB4" w:rsidRPr="00DB4EB4">
        <w:rPr>
          <w:rFonts w:cs="Arial"/>
          <w:b/>
          <w:bCs/>
          <w:color w:val="1A1A1A"/>
          <w:sz w:val="22"/>
          <w:szCs w:val="22"/>
          <w:u w:val="single"/>
        </w:rPr>
        <w:t>Steffner RJ</w:t>
      </w:r>
      <w:r>
        <w:rPr>
          <w:rFonts w:cs="Arial"/>
          <w:bCs/>
          <w:color w:val="1A1A1A"/>
          <w:sz w:val="22"/>
          <w:szCs w:val="22"/>
        </w:rPr>
        <w:t>.</w:t>
      </w:r>
      <w:r w:rsidR="00DB4EB4" w:rsidRPr="00DB4EB4">
        <w:rPr>
          <w:rFonts w:cs="Arial"/>
          <w:bCs/>
          <w:color w:val="1A1A1A"/>
          <w:sz w:val="22"/>
          <w:szCs w:val="22"/>
        </w:rPr>
        <w:t xml:space="preserve"> Open Fractures (</w:t>
      </w:r>
      <w:proofErr w:type="spellStart"/>
      <w:r w:rsidR="00DB4EB4" w:rsidRPr="00DB4EB4">
        <w:rPr>
          <w:rFonts w:cs="Arial"/>
          <w:bCs/>
          <w:color w:val="1A1A1A"/>
          <w:sz w:val="22"/>
          <w:szCs w:val="22"/>
        </w:rPr>
        <w:t>Eds</w:t>
      </w:r>
      <w:proofErr w:type="spellEnd"/>
      <w:r w:rsidR="00DB4EB4" w:rsidRPr="00DB4EB4">
        <w:rPr>
          <w:rFonts w:cs="Arial"/>
          <w:bCs/>
          <w:color w:val="1A1A1A"/>
          <w:sz w:val="22"/>
          <w:szCs w:val="22"/>
        </w:rPr>
        <w:t xml:space="preserve"> Michael Chapman &amp; Michelle James). In </w:t>
      </w:r>
      <w:r w:rsidR="00DB4EB4" w:rsidRPr="00DB4EB4">
        <w:rPr>
          <w:rFonts w:cs="Arial"/>
          <w:bCs/>
          <w:color w:val="1A1A1A"/>
          <w:sz w:val="22"/>
          <w:szCs w:val="22"/>
        </w:rPr>
        <w:lastRenderedPageBreak/>
        <w:t xml:space="preserve">Chapman’s Comprehensive </w:t>
      </w:r>
      <w:proofErr w:type="spellStart"/>
      <w:r w:rsidR="00DB4EB4" w:rsidRPr="00DB4EB4">
        <w:rPr>
          <w:rFonts w:cs="Arial"/>
          <w:bCs/>
          <w:color w:val="1A1A1A"/>
          <w:sz w:val="22"/>
          <w:szCs w:val="22"/>
        </w:rPr>
        <w:t>Orthopaedics</w:t>
      </w:r>
      <w:proofErr w:type="spellEnd"/>
      <w:r w:rsidR="00DB4EB4" w:rsidRPr="00DB4EB4">
        <w:rPr>
          <w:rFonts w:cs="Arial"/>
          <w:bCs/>
          <w:color w:val="1A1A1A"/>
          <w:sz w:val="22"/>
          <w:szCs w:val="22"/>
        </w:rPr>
        <w:t xml:space="preserve"> (Fourth Edition). Philadelphia, PA: JP Brothers</w:t>
      </w:r>
    </w:p>
    <w:p w14:paraId="2A8A409E" w14:textId="71E81EC5" w:rsidR="00DB4EB4" w:rsidRDefault="006721D8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color w:val="1A1A1A"/>
          <w:sz w:val="22"/>
          <w:szCs w:val="22"/>
        </w:rPr>
      </w:pPr>
      <w:r>
        <w:rPr>
          <w:rFonts w:cs="Arial"/>
          <w:bCs/>
          <w:color w:val="1A1A1A"/>
          <w:sz w:val="22"/>
          <w:szCs w:val="22"/>
        </w:rPr>
        <w:t>2018</w:t>
      </w:r>
      <w:r>
        <w:rPr>
          <w:rFonts w:cs="Arial"/>
          <w:bCs/>
          <w:color w:val="1A1A1A"/>
          <w:sz w:val="22"/>
          <w:szCs w:val="22"/>
        </w:rPr>
        <w:tab/>
      </w:r>
      <w:r w:rsidR="00DB4EB4" w:rsidRPr="00DB4EB4">
        <w:rPr>
          <w:rFonts w:cs="Arial"/>
          <w:b/>
          <w:bCs/>
          <w:color w:val="1A1A1A"/>
          <w:sz w:val="22"/>
          <w:szCs w:val="22"/>
          <w:u w:val="single"/>
        </w:rPr>
        <w:t>Steffner RJ</w:t>
      </w:r>
      <w:proofErr w:type="gramStart"/>
      <w:r>
        <w:rPr>
          <w:rFonts w:cs="Arial"/>
          <w:bCs/>
          <w:color w:val="1A1A1A"/>
          <w:sz w:val="22"/>
          <w:szCs w:val="22"/>
        </w:rPr>
        <w:t>.,</w:t>
      </w:r>
      <w:proofErr w:type="gramEnd"/>
      <w:r>
        <w:rPr>
          <w:rFonts w:cs="Arial"/>
          <w:bCs/>
          <w:color w:val="1A1A1A"/>
          <w:sz w:val="22"/>
          <w:szCs w:val="22"/>
        </w:rPr>
        <w:t xml:space="preserve"> Peabody T</w:t>
      </w:r>
      <w:r w:rsidR="00DB4EB4" w:rsidRPr="00DB4EB4">
        <w:rPr>
          <w:rFonts w:cs="Arial"/>
          <w:bCs/>
          <w:color w:val="1A1A1A"/>
          <w:sz w:val="22"/>
          <w:szCs w:val="22"/>
        </w:rPr>
        <w:t>. Benign Soft Tissue Tumors (</w:t>
      </w:r>
      <w:proofErr w:type="spellStart"/>
      <w:r w:rsidR="00DB4EB4" w:rsidRPr="00DB4EB4">
        <w:rPr>
          <w:rFonts w:cs="Arial"/>
          <w:bCs/>
          <w:color w:val="1A1A1A"/>
          <w:sz w:val="22"/>
          <w:szCs w:val="22"/>
        </w:rPr>
        <w:t>Eds</w:t>
      </w:r>
      <w:proofErr w:type="spellEnd"/>
      <w:r w:rsidR="00DB4EB4" w:rsidRPr="00DB4EB4">
        <w:rPr>
          <w:rFonts w:cs="Arial"/>
          <w:bCs/>
          <w:color w:val="1A1A1A"/>
          <w:sz w:val="22"/>
          <w:szCs w:val="22"/>
        </w:rPr>
        <w:t xml:space="preserve"> Michael Chapman &amp; Michelle James). In Chapman’s Comprehensive </w:t>
      </w:r>
      <w:proofErr w:type="spellStart"/>
      <w:r w:rsidR="00DB4EB4" w:rsidRPr="00DB4EB4">
        <w:rPr>
          <w:rFonts w:cs="Arial"/>
          <w:bCs/>
          <w:color w:val="1A1A1A"/>
          <w:sz w:val="22"/>
          <w:szCs w:val="22"/>
        </w:rPr>
        <w:t>Orthopaedics</w:t>
      </w:r>
      <w:proofErr w:type="spellEnd"/>
      <w:r w:rsidR="00DB4EB4" w:rsidRPr="00DB4EB4">
        <w:rPr>
          <w:rFonts w:cs="Arial"/>
          <w:bCs/>
          <w:color w:val="1A1A1A"/>
          <w:sz w:val="22"/>
          <w:szCs w:val="22"/>
        </w:rPr>
        <w:t xml:space="preserve"> (Fourth Edition).  Philadelphia, PA: JP Brothers</w:t>
      </w:r>
    </w:p>
    <w:p w14:paraId="0E0DADBB" w14:textId="3DCEA8AA" w:rsidR="00F56175" w:rsidRPr="00DB4EB4" w:rsidRDefault="00F56175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color w:val="1A1A1A"/>
          <w:sz w:val="22"/>
          <w:szCs w:val="22"/>
        </w:rPr>
      </w:pPr>
      <w:r>
        <w:rPr>
          <w:rFonts w:cs="Arial"/>
          <w:bCs/>
          <w:color w:val="1A1A1A"/>
          <w:sz w:val="22"/>
          <w:szCs w:val="22"/>
        </w:rPr>
        <w:t xml:space="preserve">2016 </w:t>
      </w:r>
      <w:r>
        <w:rPr>
          <w:rFonts w:cs="Arial"/>
          <w:bCs/>
          <w:color w:val="1A1A1A"/>
          <w:sz w:val="22"/>
          <w:szCs w:val="22"/>
        </w:rPr>
        <w:tab/>
        <w:t xml:space="preserve">Park JS, </w:t>
      </w:r>
      <w:proofErr w:type="spellStart"/>
      <w:r>
        <w:rPr>
          <w:rFonts w:cs="Arial"/>
          <w:bCs/>
          <w:color w:val="1A1A1A"/>
          <w:sz w:val="22"/>
          <w:szCs w:val="22"/>
        </w:rPr>
        <w:t>Nakache</w:t>
      </w:r>
      <w:proofErr w:type="spellEnd"/>
      <w:r>
        <w:rPr>
          <w:rFonts w:cs="Arial"/>
          <w:bCs/>
          <w:color w:val="1A1A1A"/>
          <w:sz w:val="22"/>
          <w:szCs w:val="22"/>
        </w:rPr>
        <w:t xml:space="preserve"> YP, Katz J, </w:t>
      </w:r>
      <w:proofErr w:type="spellStart"/>
      <w:r>
        <w:rPr>
          <w:rFonts w:cs="Arial"/>
          <w:bCs/>
          <w:color w:val="1A1A1A"/>
          <w:sz w:val="22"/>
          <w:szCs w:val="22"/>
        </w:rPr>
        <w:t>Boutin</w:t>
      </w:r>
      <w:proofErr w:type="spellEnd"/>
      <w:r>
        <w:rPr>
          <w:rFonts w:cs="Arial"/>
          <w:bCs/>
          <w:color w:val="1A1A1A"/>
          <w:sz w:val="22"/>
          <w:szCs w:val="22"/>
        </w:rPr>
        <w:t xml:space="preserve"> RD, </w:t>
      </w:r>
      <w:r w:rsidRPr="00F56175">
        <w:rPr>
          <w:rFonts w:cs="Arial"/>
          <w:b/>
          <w:bCs/>
          <w:color w:val="1A1A1A"/>
          <w:sz w:val="22"/>
          <w:szCs w:val="22"/>
          <w:u w:val="single"/>
        </w:rPr>
        <w:t>Steffner RJ</w:t>
      </w:r>
      <w:r>
        <w:rPr>
          <w:rFonts w:cs="Arial"/>
          <w:bCs/>
          <w:color w:val="1A1A1A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1A1A1A"/>
          <w:sz w:val="22"/>
          <w:szCs w:val="22"/>
        </w:rPr>
        <w:t>Monjazeb</w:t>
      </w:r>
      <w:proofErr w:type="spellEnd"/>
      <w:r>
        <w:rPr>
          <w:rFonts w:cs="Arial"/>
          <w:bCs/>
          <w:color w:val="1A1A1A"/>
          <w:sz w:val="22"/>
          <w:szCs w:val="22"/>
        </w:rPr>
        <w:t xml:space="preserve"> AM, Canter RJ. Conservative Management of </w:t>
      </w:r>
      <w:proofErr w:type="spellStart"/>
      <w:r>
        <w:rPr>
          <w:rFonts w:cs="Arial"/>
          <w:bCs/>
          <w:color w:val="1A1A1A"/>
          <w:sz w:val="22"/>
          <w:szCs w:val="22"/>
        </w:rPr>
        <w:t>Desmoid</w:t>
      </w:r>
      <w:proofErr w:type="spellEnd"/>
      <w:r>
        <w:rPr>
          <w:rFonts w:cs="Arial"/>
          <w:bCs/>
          <w:color w:val="1A1A1A"/>
          <w:sz w:val="22"/>
          <w:szCs w:val="22"/>
        </w:rPr>
        <w:t xml:space="preserve"> Tumors is Safe and Effective. J </w:t>
      </w:r>
      <w:proofErr w:type="spellStart"/>
      <w:r>
        <w:rPr>
          <w:rFonts w:cs="Arial"/>
          <w:bCs/>
          <w:color w:val="1A1A1A"/>
          <w:sz w:val="22"/>
          <w:szCs w:val="22"/>
        </w:rPr>
        <w:t>Surg</w:t>
      </w:r>
      <w:proofErr w:type="spellEnd"/>
      <w:r>
        <w:rPr>
          <w:rFonts w:cs="Arial"/>
          <w:bCs/>
          <w:color w:val="1A1A1A"/>
          <w:sz w:val="22"/>
          <w:szCs w:val="22"/>
        </w:rPr>
        <w:t xml:space="preserve"> Res 2016 Sept</w:t>
      </w:r>
      <w:proofErr w:type="gramStart"/>
      <w:r>
        <w:rPr>
          <w:rFonts w:cs="Arial"/>
          <w:bCs/>
          <w:color w:val="1A1A1A"/>
          <w:sz w:val="22"/>
          <w:szCs w:val="22"/>
        </w:rPr>
        <w:t>;205:115</w:t>
      </w:r>
      <w:proofErr w:type="gramEnd"/>
      <w:r>
        <w:rPr>
          <w:rFonts w:cs="Arial"/>
          <w:bCs/>
          <w:color w:val="1A1A1A"/>
          <w:sz w:val="22"/>
          <w:szCs w:val="22"/>
        </w:rPr>
        <w:t>-120.</w:t>
      </w:r>
    </w:p>
    <w:p w14:paraId="18430297" w14:textId="29A38FE1" w:rsidR="00DB4EB4" w:rsidRPr="00DB4EB4" w:rsidRDefault="00DB4EB4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color w:val="1A1A1A"/>
          <w:sz w:val="22"/>
          <w:szCs w:val="22"/>
        </w:rPr>
      </w:pPr>
      <w:r w:rsidRPr="00DB4EB4">
        <w:rPr>
          <w:rFonts w:cs="Arial"/>
          <w:bCs/>
          <w:color w:val="1A1A1A"/>
          <w:sz w:val="22"/>
          <w:szCs w:val="22"/>
        </w:rPr>
        <w:t>2015</w:t>
      </w:r>
      <w:r w:rsidRPr="00DB4EB4">
        <w:rPr>
          <w:rFonts w:cs="Arial"/>
          <w:bCs/>
          <w:color w:val="1A1A1A"/>
          <w:sz w:val="22"/>
          <w:szCs w:val="22"/>
        </w:rPr>
        <w:tab/>
      </w:r>
      <w:r w:rsidRPr="00DB4EB4">
        <w:rPr>
          <w:rFonts w:cs="Arial"/>
          <w:b/>
          <w:bCs/>
          <w:color w:val="1A1A1A"/>
          <w:sz w:val="22"/>
          <w:szCs w:val="22"/>
          <w:u w:val="single"/>
        </w:rPr>
        <w:t>Steffner RJ</w:t>
      </w:r>
      <w:r w:rsidRPr="00DB4EB4">
        <w:rPr>
          <w:rFonts w:cs="Arial"/>
          <w:bCs/>
          <w:color w:val="1A1A1A"/>
          <w:sz w:val="22"/>
          <w:szCs w:val="22"/>
        </w:rPr>
        <w:t xml:space="preserve">, </w:t>
      </w:r>
      <w:proofErr w:type="spellStart"/>
      <w:r w:rsidRPr="00DB4EB4">
        <w:rPr>
          <w:rFonts w:cs="Arial"/>
          <w:bCs/>
          <w:color w:val="1A1A1A"/>
          <w:sz w:val="22"/>
          <w:szCs w:val="22"/>
        </w:rPr>
        <w:t>Wolinsky</w:t>
      </w:r>
      <w:proofErr w:type="spellEnd"/>
      <w:r w:rsidRPr="00DB4EB4">
        <w:rPr>
          <w:rFonts w:cs="Arial"/>
          <w:bCs/>
          <w:color w:val="1A1A1A"/>
          <w:sz w:val="22"/>
          <w:szCs w:val="22"/>
        </w:rPr>
        <w:t xml:space="preserve"> P. (2015). Open Fractures (</w:t>
      </w:r>
      <w:proofErr w:type="spellStart"/>
      <w:r w:rsidRPr="00DB4EB4">
        <w:rPr>
          <w:rFonts w:cs="Arial"/>
          <w:bCs/>
          <w:color w:val="1A1A1A"/>
          <w:sz w:val="22"/>
          <w:szCs w:val="22"/>
        </w:rPr>
        <w:t>Eds</w:t>
      </w:r>
      <w:proofErr w:type="spellEnd"/>
      <w:r w:rsidRPr="00DB4EB4">
        <w:rPr>
          <w:rFonts w:cs="Arial"/>
          <w:bCs/>
          <w:color w:val="1A1A1A"/>
          <w:sz w:val="22"/>
          <w:szCs w:val="22"/>
        </w:rPr>
        <w:t xml:space="preserve"> Peter Papadakos &amp; Mark </w:t>
      </w:r>
      <w:proofErr w:type="spellStart"/>
      <w:r w:rsidRPr="00DB4EB4">
        <w:rPr>
          <w:rFonts w:cs="Arial"/>
          <w:bCs/>
          <w:color w:val="1A1A1A"/>
          <w:sz w:val="22"/>
          <w:szCs w:val="22"/>
        </w:rPr>
        <w:t>Gestring</w:t>
      </w:r>
      <w:proofErr w:type="spellEnd"/>
      <w:r w:rsidRPr="00DB4EB4">
        <w:rPr>
          <w:rFonts w:cs="Arial"/>
          <w:bCs/>
          <w:color w:val="1A1A1A"/>
          <w:sz w:val="22"/>
          <w:szCs w:val="22"/>
        </w:rPr>
        <w:t>).  In Encyclopedia of Trauma Care (First Edition).  Heidelberg, Germany: Springer</w:t>
      </w:r>
    </w:p>
    <w:p w14:paraId="72BABCB3" w14:textId="02D36F01" w:rsidR="00DB4EB4" w:rsidRPr="00DB4EB4" w:rsidRDefault="00DB4EB4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B4EB4">
        <w:rPr>
          <w:rFonts w:cs="Arial"/>
          <w:sz w:val="22"/>
          <w:szCs w:val="22"/>
        </w:rPr>
        <w:t>2014</w:t>
      </w:r>
      <w:r w:rsidRPr="00DB4EB4">
        <w:rPr>
          <w:rFonts w:cs="Arial"/>
          <w:sz w:val="22"/>
          <w:szCs w:val="22"/>
        </w:rPr>
        <w:tab/>
      </w:r>
      <w:proofErr w:type="spellStart"/>
      <w:r w:rsidRPr="00DB4EB4">
        <w:rPr>
          <w:rFonts w:cs="Arial"/>
          <w:sz w:val="22"/>
          <w:szCs w:val="22"/>
        </w:rPr>
        <w:t>Balach</w:t>
      </w:r>
      <w:proofErr w:type="spellEnd"/>
      <w:r w:rsidRPr="00DB4EB4">
        <w:rPr>
          <w:rFonts w:cs="Arial"/>
          <w:sz w:val="22"/>
          <w:szCs w:val="22"/>
        </w:rPr>
        <w:t xml:space="preserve"> T, Spiegel A, </w:t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>. (2014). Pathologic Fracture (</w:t>
      </w:r>
      <w:proofErr w:type="spellStart"/>
      <w:r w:rsidRPr="00DB4EB4">
        <w:rPr>
          <w:rFonts w:cs="Arial"/>
          <w:sz w:val="22"/>
          <w:szCs w:val="22"/>
        </w:rPr>
        <w:t>Eds</w:t>
      </w:r>
      <w:proofErr w:type="spellEnd"/>
      <w:r w:rsidRPr="00DB4EB4">
        <w:rPr>
          <w:rFonts w:cs="Arial"/>
          <w:sz w:val="22"/>
          <w:szCs w:val="22"/>
        </w:rPr>
        <w:t xml:space="preserve"> Bruce Browner).  In Skeletal Trauma (Fifth Edition).  </w:t>
      </w:r>
      <w:proofErr w:type="spellStart"/>
      <w:r w:rsidRPr="00DB4EB4">
        <w:rPr>
          <w:rFonts w:cs="Arial"/>
          <w:sz w:val="22"/>
          <w:szCs w:val="22"/>
        </w:rPr>
        <w:t>Philadelpha</w:t>
      </w:r>
      <w:proofErr w:type="spellEnd"/>
      <w:r w:rsidRPr="00DB4EB4">
        <w:rPr>
          <w:rFonts w:cs="Arial"/>
          <w:sz w:val="22"/>
          <w:szCs w:val="22"/>
        </w:rPr>
        <w:t>, PA: Elsevier</w:t>
      </w:r>
    </w:p>
    <w:p w14:paraId="15C7BD83" w14:textId="045618B0" w:rsidR="00DB4EB4" w:rsidRPr="00DB4EB4" w:rsidRDefault="00DB4EB4" w:rsidP="00DB4E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B4EB4">
        <w:rPr>
          <w:rFonts w:cs="Arial"/>
          <w:sz w:val="22"/>
          <w:szCs w:val="22"/>
        </w:rPr>
        <w:t>2014</w:t>
      </w:r>
      <w:r w:rsidRPr="00DB4EB4">
        <w:rPr>
          <w:rFonts w:cs="Arial"/>
          <w:sz w:val="22"/>
          <w:szCs w:val="22"/>
        </w:rPr>
        <w:tab/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>. (2014). Benign Tumors of Bone (</w:t>
      </w:r>
      <w:proofErr w:type="spellStart"/>
      <w:r w:rsidRPr="00DB4EB4">
        <w:rPr>
          <w:rFonts w:cs="Arial"/>
          <w:sz w:val="22"/>
          <w:szCs w:val="22"/>
        </w:rPr>
        <w:t>Eds</w:t>
      </w:r>
      <w:proofErr w:type="spellEnd"/>
      <w:r w:rsidRPr="00DB4EB4">
        <w:rPr>
          <w:rFonts w:cs="Arial"/>
          <w:sz w:val="22"/>
          <w:szCs w:val="22"/>
        </w:rPr>
        <w:t xml:space="preserve"> </w:t>
      </w:r>
      <w:proofErr w:type="spellStart"/>
      <w:r w:rsidRPr="00DB4EB4">
        <w:rPr>
          <w:rFonts w:cs="Arial"/>
          <w:sz w:val="22"/>
          <w:szCs w:val="22"/>
        </w:rPr>
        <w:t>Samer</w:t>
      </w:r>
      <w:proofErr w:type="spellEnd"/>
      <w:r w:rsidRPr="00DB4EB4">
        <w:rPr>
          <w:rFonts w:cs="Arial"/>
          <w:sz w:val="22"/>
          <w:szCs w:val="22"/>
        </w:rPr>
        <w:t xml:space="preserve"> Attar &amp; Terrance Peabody).</w:t>
      </w:r>
      <w:r w:rsidRPr="00DB4EB4">
        <w:rPr>
          <w:rFonts w:cs="Arial"/>
          <w:bCs/>
          <w:color w:val="1A1A1A"/>
          <w:sz w:val="22"/>
          <w:szCs w:val="22"/>
        </w:rPr>
        <w:t xml:space="preserve"> In Cancer Treatment and Research. </w:t>
      </w:r>
      <w:r w:rsidRPr="00DB4EB4">
        <w:rPr>
          <w:rFonts w:cs="Arial"/>
          <w:sz w:val="22"/>
          <w:szCs w:val="22"/>
        </w:rPr>
        <w:t xml:space="preserve">Vol. </w:t>
      </w:r>
      <w:r w:rsidRPr="00DB4EB4">
        <w:rPr>
          <w:rFonts w:cs="Arial"/>
          <w:bCs/>
          <w:color w:val="1A1A1A"/>
          <w:sz w:val="22"/>
          <w:szCs w:val="22"/>
        </w:rPr>
        <w:t>Orthopedic Oncology - Primary and Metastatic Tumors of the Skeletal System (Series Ed Steven T. Rosen).  New York, NY: Springer</w:t>
      </w:r>
    </w:p>
    <w:p w14:paraId="4EECC4DB" w14:textId="0FCCADF0" w:rsidR="00964CF4" w:rsidRPr="00DB4EB4" w:rsidRDefault="00964CF4" w:rsidP="00964C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color w:val="1A1A1A"/>
          <w:sz w:val="22"/>
          <w:szCs w:val="22"/>
        </w:rPr>
      </w:pPr>
      <w:r w:rsidRPr="00DB4EB4">
        <w:rPr>
          <w:rFonts w:cs="Arial"/>
          <w:sz w:val="22"/>
          <w:szCs w:val="22"/>
        </w:rPr>
        <w:t xml:space="preserve">2013 </w:t>
      </w:r>
      <w:r w:rsidRPr="00DB4EB4">
        <w:rPr>
          <w:rFonts w:cs="Arial"/>
          <w:sz w:val="22"/>
          <w:szCs w:val="22"/>
        </w:rPr>
        <w:tab/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 xml:space="preserve"> and Lee MA.  Emerging Concepts in Upper Extremity Trauma: Humeral Shaft Fractures. Ortho </w:t>
      </w:r>
      <w:proofErr w:type="spellStart"/>
      <w:r w:rsidRPr="00DB4EB4">
        <w:rPr>
          <w:rFonts w:cs="Arial"/>
          <w:sz w:val="22"/>
          <w:szCs w:val="22"/>
        </w:rPr>
        <w:t>Clin</w:t>
      </w:r>
      <w:proofErr w:type="spellEnd"/>
      <w:r w:rsidRPr="00DB4EB4">
        <w:rPr>
          <w:rFonts w:cs="Arial"/>
          <w:sz w:val="22"/>
          <w:szCs w:val="22"/>
        </w:rPr>
        <w:t xml:space="preserve"> Nor Am. 2013 Jan</w:t>
      </w:r>
      <w:proofErr w:type="gramStart"/>
      <w:r w:rsidRPr="00DB4EB4">
        <w:rPr>
          <w:rFonts w:cs="Arial"/>
          <w:sz w:val="22"/>
          <w:szCs w:val="22"/>
        </w:rPr>
        <w:t>;44</w:t>
      </w:r>
      <w:proofErr w:type="gramEnd"/>
      <w:r w:rsidRPr="00DB4EB4">
        <w:rPr>
          <w:rFonts w:cs="Arial"/>
          <w:sz w:val="22"/>
          <w:szCs w:val="22"/>
        </w:rPr>
        <w:t>(1):21-33.</w:t>
      </w:r>
    </w:p>
    <w:p w14:paraId="445B6A75" w14:textId="26B9F086" w:rsidR="00964CF4" w:rsidRPr="00DB4EB4" w:rsidRDefault="00964CF4" w:rsidP="008C3AE3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DB4EB4">
        <w:rPr>
          <w:rFonts w:cs="Arial"/>
          <w:sz w:val="22"/>
          <w:szCs w:val="22"/>
        </w:rPr>
        <w:t>2012</w:t>
      </w:r>
      <w:r w:rsidRPr="00DB4EB4">
        <w:rPr>
          <w:rFonts w:cs="Arial"/>
          <w:sz w:val="22"/>
          <w:szCs w:val="22"/>
        </w:rPr>
        <w:tab/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 xml:space="preserve">, </w:t>
      </w:r>
      <w:proofErr w:type="spellStart"/>
      <w:r w:rsidRPr="00DB4EB4">
        <w:rPr>
          <w:rFonts w:cs="Arial"/>
          <w:sz w:val="22"/>
          <w:szCs w:val="22"/>
        </w:rPr>
        <w:t>Spiguel</w:t>
      </w:r>
      <w:proofErr w:type="spellEnd"/>
      <w:r w:rsidRPr="00DB4EB4">
        <w:rPr>
          <w:rFonts w:cs="Arial"/>
          <w:sz w:val="22"/>
          <w:szCs w:val="22"/>
        </w:rPr>
        <w:t xml:space="preserve"> AR, </w:t>
      </w:r>
      <w:proofErr w:type="spellStart"/>
      <w:r w:rsidRPr="00DB4EB4">
        <w:rPr>
          <w:rFonts w:cs="Arial"/>
          <w:sz w:val="22"/>
          <w:szCs w:val="22"/>
        </w:rPr>
        <w:t>Ranieri</w:t>
      </w:r>
      <w:proofErr w:type="spellEnd"/>
      <w:r w:rsidRPr="00DB4EB4">
        <w:rPr>
          <w:rFonts w:cs="Arial"/>
          <w:sz w:val="22"/>
          <w:szCs w:val="22"/>
        </w:rPr>
        <w:t xml:space="preserve"> J, Suk M, </w:t>
      </w:r>
      <w:proofErr w:type="spellStart"/>
      <w:r w:rsidRPr="00DB4EB4">
        <w:rPr>
          <w:rFonts w:cs="Arial"/>
          <w:sz w:val="22"/>
          <w:szCs w:val="22"/>
        </w:rPr>
        <w:t>Yoo</w:t>
      </w:r>
      <w:proofErr w:type="spellEnd"/>
      <w:r w:rsidRPr="00DB4EB4">
        <w:rPr>
          <w:rFonts w:cs="Arial"/>
          <w:sz w:val="22"/>
          <w:szCs w:val="22"/>
        </w:rPr>
        <w:t xml:space="preserve"> B.  </w:t>
      </w:r>
      <w:proofErr w:type="spellStart"/>
      <w:r w:rsidRPr="00DB4EB4">
        <w:rPr>
          <w:rFonts w:cs="Arial"/>
          <w:sz w:val="22"/>
          <w:szCs w:val="22"/>
        </w:rPr>
        <w:t>Sural</w:t>
      </w:r>
      <w:proofErr w:type="spellEnd"/>
      <w:r w:rsidRPr="00DB4EB4">
        <w:rPr>
          <w:rFonts w:cs="Arial"/>
          <w:sz w:val="22"/>
          <w:szCs w:val="22"/>
        </w:rPr>
        <w:t xml:space="preserve"> Island Flap for Distal Third Soft Tissue Defects of the Lower Extremity.  J Wound Care. 2012 Oct</w:t>
      </w:r>
      <w:proofErr w:type="gramStart"/>
      <w:r w:rsidRPr="00DB4EB4">
        <w:rPr>
          <w:rFonts w:cs="Arial"/>
          <w:sz w:val="22"/>
          <w:szCs w:val="22"/>
        </w:rPr>
        <w:t>;21</w:t>
      </w:r>
      <w:proofErr w:type="gramEnd"/>
      <w:r w:rsidRPr="00DB4EB4">
        <w:rPr>
          <w:rFonts w:cs="Arial"/>
          <w:sz w:val="22"/>
          <w:szCs w:val="22"/>
        </w:rPr>
        <w:t>(10):1-5.</w:t>
      </w:r>
    </w:p>
    <w:p w14:paraId="36A0D6AD" w14:textId="709DCD70" w:rsidR="00964CF4" w:rsidRPr="00DB4EB4" w:rsidRDefault="00964CF4" w:rsidP="00964CF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DB4EB4">
        <w:rPr>
          <w:rFonts w:cs="Arial"/>
          <w:sz w:val="22"/>
          <w:szCs w:val="22"/>
        </w:rPr>
        <w:t>2012</w:t>
      </w:r>
      <w:r w:rsidRPr="00DB4EB4">
        <w:rPr>
          <w:rFonts w:cs="Arial"/>
          <w:sz w:val="22"/>
          <w:szCs w:val="22"/>
        </w:rPr>
        <w:tab/>
      </w:r>
      <w:proofErr w:type="spellStart"/>
      <w:r w:rsidRPr="00DB4EB4">
        <w:rPr>
          <w:rFonts w:cs="Arial"/>
          <w:sz w:val="22"/>
          <w:szCs w:val="22"/>
        </w:rPr>
        <w:t>Spiguel</w:t>
      </w:r>
      <w:proofErr w:type="spellEnd"/>
      <w:r w:rsidRPr="00DB4EB4">
        <w:rPr>
          <w:rFonts w:cs="Arial"/>
          <w:sz w:val="22"/>
          <w:szCs w:val="22"/>
        </w:rPr>
        <w:t xml:space="preserve"> AR and </w:t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 xml:space="preserve">.  Humeral Shaft Fractures.  </w:t>
      </w:r>
      <w:proofErr w:type="spellStart"/>
      <w:r w:rsidRPr="00DB4EB4">
        <w:rPr>
          <w:rFonts w:cs="Arial"/>
          <w:sz w:val="22"/>
          <w:szCs w:val="22"/>
        </w:rPr>
        <w:t>Curr</w:t>
      </w:r>
      <w:proofErr w:type="spellEnd"/>
      <w:r w:rsidRPr="00DB4EB4">
        <w:rPr>
          <w:rFonts w:cs="Arial"/>
          <w:sz w:val="22"/>
          <w:szCs w:val="22"/>
        </w:rPr>
        <w:t xml:space="preserve"> Rev </w:t>
      </w:r>
      <w:proofErr w:type="spellStart"/>
      <w:r w:rsidRPr="00DB4EB4">
        <w:rPr>
          <w:rFonts w:cs="Arial"/>
          <w:sz w:val="22"/>
          <w:szCs w:val="22"/>
        </w:rPr>
        <w:t>Musculoskelet</w:t>
      </w:r>
      <w:proofErr w:type="spellEnd"/>
      <w:r w:rsidRPr="00DB4EB4">
        <w:rPr>
          <w:rFonts w:cs="Arial"/>
          <w:sz w:val="22"/>
          <w:szCs w:val="22"/>
        </w:rPr>
        <w:t xml:space="preserve"> Med. 2012 Sep</w:t>
      </w:r>
      <w:proofErr w:type="gramStart"/>
      <w:r w:rsidRPr="00DB4EB4">
        <w:rPr>
          <w:rFonts w:cs="Arial"/>
          <w:sz w:val="22"/>
          <w:szCs w:val="22"/>
        </w:rPr>
        <w:t>;5</w:t>
      </w:r>
      <w:proofErr w:type="gramEnd"/>
      <w:r w:rsidRPr="00DB4EB4">
        <w:rPr>
          <w:rFonts w:cs="Arial"/>
          <w:sz w:val="22"/>
          <w:szCs w:val="22"/>
        </w:rPr>
        <w:t>(3):177-83.</w:t>
      </w:r>
    </w:p>
    <w:p w14:paraId="7998DFE2" w14:textId="0BAF0D2F" w:rsidR="00964CF4" w:rsidRPr="00DB4EB4" w:rsidRDefault="00964CF4" w:rsidP="00964CF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DB4EB4">
        <w:rPr>
          <w:rFonts w:cs="Arial"/>
          <w:sz w:val="22"/>
          <w:szCs w:val="22"/>
        </w:rPr>
        <w:t>2012</w:t>
      </w:r>
      <w:r w:rsidRPr="00DB4EB4">
        <w:rPr>
          <w:rFonts w:cs="Arial"/>
          <w:sz w:val="22"/>
          <w:szCs w:val="22"/>
        </w:rPr>
        <w:tab/>
        <w:t xml:space="preserve">Attar S, </w:t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 xml:space="preserve">, </w:t>
      </w:r>
      <w:proofErr w:type="spellStart"/>
      <w:r w:rsidRPr="00DB4EB4">
        <w:rPr>
          <w:rFonts w:cs="Arial"/>
          <w:sz w:val="22"/>
          <w:szCs w:val="22"/>
        </w:rPr>
        <w:t>Avedian</w:t>
      </w:r>
      <w:proofErr w:type="spellEnd"/>
      <w:r w:rsidRPr="00DB4EB4">
        <w:rPr>
          <w:rFonts w:cs="Arial"/>
          <w:sz w:val="22"/>
          <w:szCs w:val="22"/>
        </w:rPr>
        <w:t xml:space="preserve"> R, </w:t>
      </w:r>
      <w:proofErr w:type="spellStart"/>
      <w:r w:rsidRPr="00DB4EB4">
        <w:rPr>
          <w:rFonts w:cs="Arial"/>
          <w:sz w:val="22"/>
          <w:szCs w:val="22"/>
        </w:rPr>
        <w:t>Hussain</w:t>
      </w:r>
      <w:proofErr w:type="spellEnd"/>
      <w:r w:rsidRPr="00DB4EB4">
        <w:rPr>
          <w:rFonts w:cs="Arial"/>
          <w:sz w:val="22"/>
          <w:szCs w:val="22"/>
        </w:rPr>
        <w:t xml:space="preserve"> WH.  Surgical Intervention of </w:t>
      </w:r>
      <w:proofErr w:type="spellStart"/>
      <w:r w:rsidRPr="00DB4EB4">
        <w:rPr>
          <w:rFonts w:cs="Arial"/>
          <w:sz w:val="22"/>
          <w:szCs w:val="22"/>
        </w:rPr>
        <w:t>Nonvertebral</w:t>
      </w:r>
      <w:proofErr w:type="spellEnd"/>
      <w:r w:rsidRPr="00DB4EB4">
        <w:rPr>
          <w:rFonts w:cs="Arial"/>
          <w:sz w:val="22"/>
          <w:szCs w:val="22"/>
        </w:rPr>
        <w:t xml:space="preserve"> Osseous Metastasis. Cancer Control. 2012 Apr 19(2)</w:t>
      </w:r>
      <w:proofErr w:type="gramStart"/>
      <w:r w:rsidRPr="00DB4EB4">
        <w:rPr>
          <w:rFonts w:cs="Arial"/>
          <w:sz w:val="22"/>
          <w:szCs w:val="22"/>
        </w:rPr>
        <w:t>:113</w:t>
      </w:r>
      <w:proofErr w:type="gramEnd"/>
      <w:r w:rsidRPr="00DB4EB4">
        <w:rPr>
          <w:rFonts w:cs="Arial"/>
          <w:sz w:val="22"/>
          <w:szCs w:val="22"/>
        </w:rPr>
        <w:t>-121.</w:t>
      </w:r>
    </w:p>
    <w:p w14:paraId="267E01EE" w14:textId="7BB9010F" w:rsidR="00964CF4" w:rsidRPr="00DB4EB4" w:rsidRDefault="00964CF4" w:rsidP="00964CF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DB4EB4">
        <w:rPr>
          <w:rFonts w:cs="Arial"/>
          <w:sz w:val="22"/>
          <w:szCs w:val="22"/>
        </w:rPr>
        <w:t>2011</w:t>
      </w:r>
      <w:r w:rsidRPr="00DB4EB4">
        <w:rPr>
          <w:rFonts w:cs="Arial"/>
          <w:sz w:val="22"/>
          <w:szCs w:val="22"/>
        </w:rPr>
        <w:tab/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 xml:space="preserve">, Liao C, Stacy G, </w:t>
      </w:r>
      <w:proofErr w:type="spellStart"/>
      <w:r w:rsidRPr="00DB4EB4">
        <w:rPr>
          <w:rFonts w:cs="Arial"/>
          <w:sz w:val="22"/>
          <w:szCs w:val="22"/>
        </w:rPr>
        <w:t>Atanda</w:t>
      </w:r>
      <w:proofErr w:type="spellEnd"/>
      <w:r w:rsidRPr="00DB4EB4">
        <w:rPr>
          <w:rFonts w:cs="Arial"/>
          <w:sz w:val="22"/>
          <w:szCs w:val="22"/>
        </w:rPr>
        <w:t xml:space="preserve"> A, Attar S, </w:t>
      </w:r>
      <w:proofErr w:type="spellStart"/>
      <w:r w:rsidRPr="00DB4EB4">
        <w:rPr>
          <w:rFonts w:cs="Arial"/>
          <w:sz w:val="22"/>
          <w:szCs w:val="22"/>
        </w:rPr>
        <w:t>Avedian</w:t>
      </w:r>
      <w:proofErr w:type="spellEnd"/>
      <w:r w:rsidRPr="00DB4EB4">
        <w:rPr>
          <w:rFonts w:cs="Arial"/>
          <w:sz w:val="22"/>
          <w:szCs w:val="22"/>
        </w:rPr>
        <w:t xml:space="preserve"> R, Peabody T.  Factors Associated with Recurrence in Primary Aneurysmal Bone Cysts: Is Argon Beam Coagulation an Effective Adjuvant Treatment? JBJS-Am. 2011 Nov 92(21)</w:t>
      </w:r>
      <w:proofErr w:type="gramStart"/>
      <w:r w:rsidRPr="00DB4EB4">
        <w:rPr>
          <w:rFonts w:cs="Arial"/>
          <w:sz w:val="22"/>
          <w:szCs w:val="22"/>
        </w:rPr>
        <w:t>:e1221</w:t>
      </w:r>
      <w:proofErr w:type="gramEnd"/>
      <w:r w:rsidRPr="00DB4EB4">
        <w:rPr>
          <w:rFonts w:cs="Arial"/>
          <w:sz w:val="22"/>
          <w:szCs w:val="22"/>
        </w:rPr>
        <w:t>-1229.</w:t>
      </w:r>
    </w:p>
    <w:p w14:paraId="35D3D95B" w14:textId="2DE0C5B0" w:rsidR="00964CF4" w:rsidRPr="00DB4EB4" w:rsidRDefault="00964CF4" w:rsidP="00964CF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DB4EB4">
        <w:rPr>
          <w:rFonts w:cs="Arial"/>
          <w:sz w:val="22"/>
          <w:szCs w:val="22"/>
        </w:rPr>
        <w:t>2009</w:t>
      </w:r>
      <w:r w:rsidRPr="00DB4EB4">
        <w:rPr>
          <w:rFonts w:cs="Arial"/>
          <w:sz w:val="22"/>
          <w:szCs w:val="22"/>
        </w:rPr>
        <w:tab/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 xml:space="preserve">, </w:t>
      </w:r>
      <w:proofErr w:type="spellStart"/>
      <w:r w:rsidRPr="00DB4EB4">
        <w:rPr>
          <w:rFonts w:cs="Arial"/>
          <w:sz w:val="22"/>
          <w:szCs w:val="22"/>
        </w:rPr>
        <w:t>Avedian</w:t>
      </w:r>
      <w:proofErr w:type="spellEnd"/>
      <w:r w:rsidRPr="00DB4EB4">
        <w:rPr>
          <w:rFonts w:cs="Arial"/>
          <w:sz w:val="22"/>
          <w:szCs w:val="22"/>
        </w:rPr>
        <w:t xml:space="preserve"> R, Peabody T. Aneurysmal Bone Cyst.  American Academy of </w:t>
      </w:r>
      <w:proofErr w:type="spellStart"/>
      <w:r w:rsidRPr="00DB4EB4">
        <w:rPr>
          <w:rFonts w:cs="Arial"/>
          <w:sz w:val="22"/>
          <w:szCs w:val="22"/>
        </w:rPr>
        <w:t>Orthopaedic</w:t>
      </w:r>
      <w:proofErr w:type="spellEnd"/>
      <w:r w:rsidRPr="00DB4EB4">
        <w:rPr>
          <w:rFonts w:cs="Arial"/>
          <w:sz w:val="22"/>
          <w:szCs w:val="22"/>
        </w:rPr>
        <w:t xml:space="preserve"> Surgeons. </w:t>
      </w:r>
      <w:proofErr w:type="spellStart"/>
      <w:r w:rsidRPr="00DB4EB4">
        <w:rPr>
          <w:rFonts w:cs="Arial"/>
          <w:sz w:val="22"/>
          <w:szCs w:val="22"/>
        </w:rPr>
        <w:t>Orthopaedic</w:t>
      </w:r>
      <w:proofErr w:type="spellEnd"/>
      <w:r w:rsidRPr="00DB4EB4">
        <w:rPr>
          <w:rFonts w:cs="Arial"/>
          <w:sz w:val="22"/>
          <w:szCs w:val="22"/>
        </w:rPr>
        <w:t xml:space="preserve"> Knowledge Online (OKO). 2009: http://www5.aaos.org/oko/description.cfm</w:t>
      </w:r>
      <w:proofErr w:type="gramStart"/>
      <w:r w:rsidRPr="00DB4EB4">
        <w:rPr>
          <w:rFonts w:cs="Arial"/>
          <w:sz w:val="22"/>
          <w:szCs w:val="22"/>
        </w:rPr>
        <w:t>?topic</w:t>
      </w:r>
      <w:proofErr w:type="gramEnd"/>
      <w:r w:rsidRPr="00DB4EB4">
        <w:rPr>
          <w:rFonts w:cs="Arial"/>
          <w:sz w:val="22"/>
          <w:szCs w:val="22"/>
        </w:rPr>
        <w:t>=ONC013.  Accessed May 21, 2009.</w:t>
      </w:r>
    </w:p>
    <w:p w14:paraId="7025FFBD" w14:textId="48CC99FA" w:rsidR="00964CF4" w:rsidRPr="00DB4EB4" w:rsidRDefault="00964CF4" w:rsidP="00964CF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DB4EB4">
        <w:rPr>
          <w:rFonts w:cs="Arial"/>
          <w:sz w:val="22"/>
          <w:szCs w:val="22"/>
        </w:rPr>
        <w:t>2004</w:t>
      </w:r>
      <w:r w:rsidRPr="00DB4EB4">
        <w:rPr>
          <w:rFonts w:cs="Arial"/>
          <w:sz w:val="22"/>
          <w:szCs w:val="22"/>
        </w:rPr>
        <w:tab/>
        <w:t xml:space="preserve">Wu L, Nicholson W, </w:t>
      </w:r>
      <w:proofErr w:type="spellStart"/>
      <w:r w:rsidRPr="00DB4EB4">
        <w:rPr>
          <w:rFonts w:cs="Arial"/>
          <w:sz w:val="22"/>
          <w:szCs w:val="22"/>
        </w:rPr>
        <w:t>Knobel</w:t>
      </w:r>
      <w:proofErr w:type="spellEnd"/>
      <w:r w:rsidRPr="00DB4EB4">
        <w:rPr>
          <w:rFonts w:cs="Arial"/>
          <w:sz w:val="22"/>
          <w:szCs w:val="22"/>
        </w:rPr>
        <w:t xml:space="preserve"> SM, </w:t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 xml:space="preserve">, May JM, Piston DW, Powers AC. Oxidative Stress is a Mediator of Glucose Toxicity in Insulin-Secreting Pancreatic Islet Cell Lines. J </w:t>
      </w:r>
      <w:proofErr w:type="spellStart"/>
      <w:r w:rsidRPr="00DB4EB4">
        <w:rPr>
          <w:rFonts w:cs="Arial"/>
          <w:sz w:val="22"/>
          <w:szCs w:val="22"/>
        </w:rPr>
        <w:t>Biol</w:t>
      </w:r>
      <w:proofErr w:type="spellEnd"/>
      <w:r w:rsidRPr="00DB4EB4">
        <w:rPr>
          <w:rFonts w:cs="Arial"/>
          <w:sz w:val="22"/>
          <w:szCs w:val="22"/>
        </w:rPr>
        <w:t xml:space="preserve"> Chem. 2004 Mar26</w:t>
      </w:r>
      <w:proofErr w:type="gramStart"/>
      <w:r w:rsidRPr="00DB4EB4">
        <w:rPr>
          <w:rFonts w:cs="Arial"/>
          <w:sz w:val="22"/>
          <w:szCs w:val="22"/>
        </w:rPr>
        <w:t>;279</w:t>
      </w:r>
      <w:proofErr w:type="gramEnd"/>
      <w:r w:rsidRPr="00DB4EB4">
        <w:rPr>
          <w:rFonts w:cs="Arial"/>
          <w:sz w:val="22"/>
          <w:szCs w:val="22"/>
        </w:rPr>
        <w:t>(13):12126-34.</w:t>
      </w:r>
    </w:p>
    <w:p w14:paraId="7CD0E18E" w14:textId="77777777" w:rsidR="00964CF4" w:rsidRPr="00DB4EB4" w:rsidRDefault="00964CF4" w:rsidP="00964CF4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DB4EB4">
        <w:rPr>
          <w:rFonts w:cs="Arial"/>
          <w:sz w:val="22"/>
          <w:szCs w:val="22"/>
        </w:rPr>
        <w:t>2004</w:t>
      </w:r>
      <w:r w:rsidRPr="00DB4EB4">
        <w:rPr>
          <w:rFonts w:cs="Arial"/>
          <w:sz w:val="22"/>
          <w:szCs w:val="22"/>
        </w:rPr>
        <w:tab/>
      </w:r>
      <w:r w:rsidRPr="00DB4EB4">
        <w:rPr>
          <w:rFonts w:cs="Arial"/>
          <w:b/>
          <w:sz w:val="22"/>
          <w:szCs w:val="22"/>
          <w:u w:val="single"/>
        </w:rPr>
        <w:t>Steffner RJ</w:t>
      </w:r>
      <w:r w:rsidRPr="00DB4EB4">
        <w:rPr>
          <w:rFonts w:cs="Arial"/>
          <w:sz w:val="22"/>
          <w:szCs w:val="22"/>
        </w:rPr>
        <w:t xml:space="preserve">, Wu L, Powers AC, May JM. Ascorbic Acid Recycling by Cultured Beta Cells: Effects of Increased Glucose Metabolism. Free </w:t>
      </w:r>
      <w:proofErr w:type="spellStart"/>
      <w:r w:rsidRPr="00DB4EB4">
        <w:rPr>
          <w:rFonts w:cs="Arial"/>
          <w:sz w:val="22"/>
          <w:szCs w:val="22"/>
        </w:rPr>
        <w:t>Radic</w:t>
      </w:r>
      <w:proofErr w:type="spellEnd"/>
      <w:r w:rsidRPr="00DB4EB4">
        <w:rPr>
          <w:rFonts w:cs="Arial"/>
          <w:sz w:val="22"/>
          <w:szCs w:val="22"/>
        </w:rPr>
        <w:t xml:space="preserve"> </w:t>
      </w:r>
      <w:proofErr w:type="spellStart"/>
      <w:r w:rsidRPr="00DB4EB4">
        <w:rPr>
          <w:rFonts w:cs="Arial"/>
          <w:sz w:val="22"/>
          <w:szCs w:val="22"/>
        </w:rPr>
        <w:t>Biol</w:t>
      </w:r>
      <w:proofErr w:type="spellEnd"/>
      <w:r w:rsidRPr="00DB4EB4">
        <w:rPr>
          <w:rFonts w:cs="Arial"/>
          <w:sz w:val="22"/>
          <w:szCs w:val="22"/>
        </w:rPr>
        <w:t xml:space="preserve"> Med. 2004 Nov 15:37(10)</w:t>
      </w:r>
      <w:proofErr w:type="gramStart"/>
      <w:r w:rsidRPr="00DB4EB4">
        <w:rPr>
          <w:rFonts w:cs="Arial"/>
          <w:sz w:val="22"/>
          <w:szCs w:val="22"/>
        </w:rPr>
        <w:t>:1612</w:t>
      </w:r>
      <w:proofErr w:type="gramEnd"/>
      <w:r w:rsidRPr="00DB4EB4">
        <w:rPr>
          <w:rFonts w:cs="Arial"/>
          <w:sz w:val="22"/>
          <w:szCs w:val="22"/>
        </w:rPr>
        <w:t>-21.</w:t>
      </w:r>
    </w:p>
    <w:p w14:paraId="7469F400" w14:textId="77777777" w:rsidR="002546D4" w:rsidRPr="00DB4EB4" w:rsidRDefault="002546D4" w:rsidP="00964CF4">
      <w:pPr>
        <w:rPr>
          <w:rFonts w:cs="Arial"/>
          <w:bCs/>
          <w:sz w:val="22"/>
          <w:szCs w:val="22"/>
        </w:rPr>
      </w:pPr>
    </w:p>
    <w:p w14:paraId="1FC2A81A" w14:textId="77777777" w:rsidR="002546D4" w:rsidRPr="002F7B16" w:rsidRDefault="002546D4" w:rsidP="002546D4">
      <w:pPr>
        <w:pStyle w:val="DataField11pt-Single"/>
        <w:rPr>
          <w:b/>
          <w:szCs w:val="22"/>
        </w:rPr>
      </w:pPr>
      <w:r w:rsidRPr="002F7B16">
        <w:rPr>
          <w:b/>
          <w:szCs w:val="22"/>
        </w:rPr>
        <w:t>D.  Research Support</w:t>
      </w:r>
    </w:p>
    <w:p w14:paraId="09B7A9EB" w14:textId="77777777" w:rsidR="002546D4" w:rsidRDefault="002546D4" w:rsidP="002546D4">
      <w:pPr>
        <w:pStyle w:val="DataField11pt-Single"/>
        <w:rPr>
          <w:b/>
          <w:szCs w:val="22"/>
        </w:rPr>
      </w:pPr>
    </w:p>
    <w:p w14:paraId="65FE3FE3" w14:textId="77777777" w:rsidR="00116527" w:rsidRDefault="00116527" w:rsidP="002546D4">
      <w:pPr>
        <w:pStyle w:val="DataField11pt-Single"/>
        <w:rPr>
          <w:b/>
          <w:szCs w:val="22"/>
        </w:rPr>
      </w:pPr>
      <w:r>
        <w:rPr>
          <w:b/>
          <w:szCs w:val="22"/>
        </w:rPr>
        <w:tab/>
        <w:t>Ongoing Research Support</w:t>
      </w:r>
    </w:p>
    <w:p w14:paraId="65E5C50C" w14:textId="77777777" w:rsidR="00116527" w:rsidRDefault="00116527" w:rsidP="002546D4">
      <w:pPr>
        <w:pStyle w:val="DataField11pt-Single"/>
        <w:rPr>
          <w:b/>
          <w:szCs w:val="22"/>
        </w:rPr>
      </w:pPr>
    </w:p>
    <w:p w14:paraId="13949260" w14:textId="22F92766" w:rsidR="001B741F" w:rsidRDefault="001B741F" w:rsidP="002546D4">
      <w:pPr>
        <w:pStyle w:val="DataField11pt-Single"/>
        <w:rPr>
          <w:szCs w:val="22"/>
        </w:rPr>
      </w:pPr>
      <w:r>
        <w:rPr>
          <w:b/>
          <w:szCs w:val="22"/>
        </w:rPr>
        <w:tab/>
      </w:r>
      <w:r w:rsidR="00C718DC">
        <w:rPr>
          <w:szCs w:val="22"/>
        </w:rPr>
        <w:t>SQ</w:t>
      </w:r>
      <w:r>
        <w:rPr>
          <w:szCs w:val="22"/>
        </w:rPr>
        <w:t>IMM Cancer Center Grant</w:t>
      </w:r>
    </w:p>
    <w:p w14:paraId="79CACA27" w14:textId="47615D70" w:rsidR="001B741F" w:rsidRDefault="001B741F" w:rsidP="002546D4">
      <w:pPr>
        <w:pStyle w:val="DataField11pt-Single"/>
        <w:rPr>
          <w:szCs w:val="22"/>
        </w:rPr>
      </w:pPr>
      <w:r>
        <w:rPr>
          <w:szCs w:val="22"/>
        </w:rPr>
        <w:tab/>
        <w:t>Multidisciplinary Sarcoma Group Research Support</w:t>
      </w:r>
    </w:p>
    <w:p w14:paraId="49D9E635" w14:textId="2CE63661" w:rsidR="001B741F" w:rsidRDefault="001B741F" w:rsidP="002546D4">
      <w:pPr>
        <w:pStyle w:val="DataField11pt-Single"/>
        <w:rPr>
          <w:szCs w:val="22"/>
        </w:rPr>
      </w:pPr>
      <w:r>
        <w:rPr>
          <w:szCs w:val="22"/>
        </w:rPr>
        <w:tab/>
        <w:t>Award $50,102, Ref #: 2019.003</w:t>
      </w:r>
    </w:p>
    <w:p w14:paraId="4A5276D3" w14:textId="77777777" w:rsidR="00C718DC" w:rsidRDefault="00C718DC" w:rsidP="002546D4">
      <w:pPr>
        <w:pStyle w:val="DataField11pt-Single"/>
        <w:rPr>
          <w:szCs w:val="22"/>
        </w:rPr>
      </w:pPr>
    </w:p>
    <w:p w14:paraId="58A554C4" w14:textId="20658CCF" w:rsidR="00C718DC" w:rsidRDefault="00C718DC" w:rsidP="002546D4">
      <w:pPr>
        <w:pStyle w:val="DataField11pt-Single"/>
        <w:rPr>
          <w:szCs w:val="22"/>
        </w:rPr>
      </w:pPr>
      <w:r>
        <w:rPr>
          <w:szCs w:val="22"/>
        </w:rPr>
        <w:tab/>
        <w:t>SQIMM Cancer Center Grant</w:t>
      </w:r>
    </w:p>
    <w:p w14:paraId="4B694414" w14:textId="53C89E82" w:rsidR="00C718DC" w:rsidRDefault="00C718DC" w:rsidP="002546D4">
      <w:pPr>
        <w:pStyle w:val="DataField11pt-Single"/>
        <w:rPr>
          <w:szCs w:val="22"/>
        </w:rPr>
      </w:pPr>
      <w:r>
        <w:rPr>
          <w:szCs w:val="22"/>
        </w:rPr>
        <w:tab/>
        <w:t>Multidisciplinary Sarcoma Group Research Support</w:t>
      </w:r>
    </w:p>
    <w:p w14:paraId="72D796FF" w14:textId="5275D464" w:rsidR="00C718DC" w:rsidRDefault="00C718DC" w:rsidP="002546D4">
      <w:pPr>
        <w:pStyle w:val="DataField11pt-Single"/>
        <w:rPr>
          <w:szCs w:val="22"/>
        </w:rPr>
      </w:pPr>
      <w:r>
        <w:rPr>
          <w:szCs w:val="22"/>
        </w:rPr>
        <w:tab/>
        <w:t>Award $35,000, Ref #: 2020.020</w:t>
      </w:r>
    </w:p>
    <w:p w14:paraId="7D4A77E3" w14:textId="77777777" w:rsidR="001B741F" w:rsidRPr="001B741F" w:rsidRDefault="001B741F" w:rsidP="002546D4">
      <w:pPr>
        <w:pStyle w:val="DataField11pt-Single"/>
        <w:rPr>
          <w:szCs w:val="22"/>
        </w:rPr>
      </w:pPr>
    </w:p>
    <w:sectPr w:rsidR="001B741F" w:rsidRPr="001B741F" w:rsidSect="002E58A3">
      <w:footerReference w:type="default" r:id="rId8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439D" w14:textId="77777777" w:rsidR="00580E7A" w:rsidRDefault="00580E7A" w:rsidP="00A21747">
      <w:r>
        <w:separator/>
      </w:r>
    </w:p>
  </w:endnote>
  <w:endnote w:type="continuationSeparator" w:id="0">
    <w:p w14:paraId="58C64AD9" w14:textId="77777777" w:rsidR="00580E7A" w:rsidRDefault="00580E7A" w:rsidP="00A2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356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FAEC7" w14:textId="77777777" w:rsidR="00580E7A" w:rsidRDefault="00580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D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60ACEF" w14:textId="77777777" w:rsidR="00580E7A" w:rsidRDefault="00580E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5588B" w14:textId="77777777" w:rsidR="00580E7A" w:rsidRDefault="00580E7A" w:rsidP="00A21747">
      <w:r>
        <w:separator/>
      </w:r>
    </w:p>
  </w:footnote>
  <w:footnote w:type="continuationSeparator" w:id="0">
    <w:p w14:paraId="72E09C42" w14:textId="77777777" w:rsidR="00580E7A" w:rsidRDefault="00580E7A" w:rsidP="00A2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8F3"/>
    <w:multiLevelType w:val="hybridMultilevel"/>
    <w:tmpl w:val="2E7CC2A6"/>
    <w:lvl w:ilvl="0" w:tplc="44F257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FCF"/>
    <w:multiLevelType w:val="hybridMultilevel"/>
    <w:tmpl w:val="A01496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B325D"/>
    <w:multiLevelType w:val="hybridMultilevel"/>
    <w:tmpl w:val="1DF0C602"/>
    <w:lvl w:ilvl="0" w:tplc="E704003A">
      <w:start w:val="1"/>
      <w:numFmt w:val="decimal"/>
      <w:lvlText w:val="%1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5605C"/>
    <w:multiLevelType w:val="hybridMultilevel"/>
    <w:tmpl w:val="F56CBDD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377D7F"/>
    <w:multiLevelType w:val="hybridMultilevel"/>
    <w:tmpl w:val="D7B869F0"/>
    <w:lvl w:ilvl="0" w:tplc="03008D4A">
      <w:start w:val="5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4"/>
    <w:rsid w:val="00116527"/>
    <w:rsid w:val="0011663B"/>
    <w:rsid w:val="001B741F"/>
    <w:rsid w:val="00227D59"/>
    <w:rsid w:val="002546D4"/>
    <w:rsid w:val="00263459"/>
    <w:rsid w:val="002E58A3"/>
    <w:rsid w:val="002E6E34"/>
    <w:rsid w:val="002F7B16"/>
    <w:rsid w:val="003B7567"/>
    <w:rsid w:val="004F1A43"/>
    <w:rsid w:val="00580E7A"/>
    <w:rsid w:val="006721D8"/>
    <w:rsid w:val="00680B73"/>
    <w:rsid w:val="00755394"/>
    <w:rsid w:val="007664BA"/>
    <w:rsid w:val="007B1866"/>
    <w:rsid w:val="007C4530"/>
    <w:rsid w:val="0083540E"/>
    <w:rsid w:val="008C3AE3"/>
    <w:rsid w:val="008F0173"/>
    <w:rsid w:val="0093162A"/>
    <w:rsid w:val="00964CF4"/>
    <w:rsid w:val="009A57E3"/>
    <w:rsid w:val="00A21747"/>
    <w:rsid w:val="00AA6915"/>
    <w:rsid w:val="00B342EA"/>
    <w:rsid w:val="00B35D80"/>
    <w:rsid w:val="00C718DC"/>
    <w:rsid w:val="00C87825"/>
    <w:rsid w:val="00D955C0"/>
    <w:rsid w:val="00DB4EB4"/>
    <w:rsid w:val="00EA6F56"/>
    <w:rsid w:val="00F440DD"/>
    <w:rsid w:val="00F56175"/>
    <w:rsid w:val="00FC024A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34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D4"/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2546D4"/>
    <w:pPr>
      <w:autoSpaceDE w:val="0"/>
      <w:autoSpaceDN w:val="0"/>
    </w:pPr>
    <w:rPr>
      <w:rFonts w:eastAsia="Times New Roman" w:cs="Arial"/>
      <w:sz w:val="22"/>
      <w:lang w:eastAsia="en-US"/>
    </w:rPr>
  </w:style>
  <w:style w:type="paragraph" w:customStyle="1" w:styleId="FormFieldCaption">
    <w:name w:val="Form Field Caption"/>
    <w:basedOn w:val="Normal"/>
    <w:rsid w:val="002546D4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  <w:lang w:eastAsia="en-US"/>
    </w:rPr>
  </w:style>
  <w:style w:type="character" w:customStyle="1" w:styleId="DataField11pt-SingleChar">
    <w:name w:val="Data Field 11pt-Single Char"/>
    <w:link w:val="DataField11pt-Single"/>
    <w:rsid w:val="002546D4"/>
    <w:rPr>
      <w:rFonts w:ascii="Arial" w:eastAsia="Times New Roman" w:hAnsi="Arial" w:cs="Arial"/>
      <w:szCs w:val="20"/>
    </w:rPr>
  </w:style>
  <w:style w:type="paragraph" w:customStyle="1" w:styleId="HeadNoteNotItalics">
    <w:name w:val="HeadNoteNotItalics"/>
    <w:basedOn w:val="Normal"/>
    <w:rsid w:val="002546D4"/>
    <w:pPr>
      <w:autoSpaceDE w:val="0"/>
      <w:autoSpaceDN w:val="0"/>
      <w:spacing w:before="40" w:after="40"/>
      <w:jc w:val="center"/>
    </w:pPr>
    <w:rPr>
      <w:rFonts w:eastAsia="Times New Roman" w:cs="Arial"/>
      <w:iCs/>
      <w:sz w:val="16"/>
      <w:szCs w:val="16"/>
      <w:lang w:eastAsia="en-US"/>
    </w:rPr>
  </w:style>
  <w:style w:type="character" w:customStyle="1" w:styleId="volume">
    <w:name w:val="volume"/>
    <w:basedOn w:val="DefaultParagraphFont"/>
    <w:rsid w:val="002546D4"/>
  </w:style>
  <w:style w:type="character" w:customStyle="1" w:styleId="issue">
    <w:name w:val="issue"/>
    <w:basedOn w:val="DefaultParagraphFont"/>
    <w:rsid w:val="002546D4"/>
  </w:style>
  <w:style w:type="character" w:customStyle="1" w:styleId="pages">
    <w:name w:val="pages"/>
    <w:basedOn w:val="DefaultParagraphFont"/>
    <w:rsid w:val="002546D4"/>
  </w:style>
  <w:style w:type="character" w:customStyle="1" w:styleId="src1">
    <w:name w:val="src1"/>
    <w:rsid w:val="002546D4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254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47"/>
    <w:rPr>
      <w:rFonts w:ascii="Arial" w:eastAsia="MS Mincho" w:hAnsi="Arial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21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47"/>
    <w:rPr>
      <w:rFonts w:ascii="Arial" w:eastAsia="MS Mincho" w:hAnsi="Arial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D4"/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2546D4"/>
    <w:pPr>
      <w:autoSpaceDE w:val="0"/>
      <w:autoSpaceDN w:val="0"/>
    </w:pPr>
    <w:rPr>
      <w:rFonts w:eastAsia="Times New Roman" w:cs="Arial"/>
      <w:sz w:val="22"/>
      <w:lang w:eastAsia="en-US"/>
    </w:rPr>
  </w:style>
  <w:style w:type="paragraph" w:customStyle="1" w:styleId="FormFieldCaption">
    <w:name w:val="Form Field Caption"/>
    <w:basedOn w:val="Normal"/>
    <w:rsid w:val="002546D4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  <w:lang w:eastAsia="en-US"/>
    </w:rPr>
  </w:style>
  <w:style w:type="character" w:customStyle="1" w:styleId="DataField11pt-SingleChar">
    <w:name w:val="Data Field 11pt-Single Char"/>
    <w:link w:val="DataField11pt-Single"/>
    <w:rsid w:val="002546D4"/>
    <w:rPr>
      <w:rFonts w:ascii="Arial" w:eastAsia="Times New Roman" w:hAnsi="Arial" w:cs="Arial"/>
      <w:szCs w:val="20"/>
    </w:rPr>
  </w:style>
  <w:style w:type="paragraph" w:customStyle="1" w:styleId="HeadNoteNotItalics">
    <w:name w:val="HeadNoteNotItalics"/>
    <w:basedOn w:val="Normal"/>
    <w:rsid w:val="002546D4"/>
    <w:pPr>
      <w:autoSpaceDE w:val="0"/>
      <w:autoSpaceDN w:val="0"/>
      <w:spacing w:before="40" w:after="40"/>
      <w:jc w:val="center"/>
    </w:pPr>
    <w:rPr>
      <w:rFonts w:eastAsia="Times New Roman" w:cs="Arial"/>
      <w:iCs/>
      <w:sz w:val="16"/>
      <w:szCs w:val="16"/>
      <w:lang w:eastAsia="en-US"/>
    </w:rPr>
  </w:style>
  <w:style w:type="character" w:customStyle="1" w:styleId="volume">
    <w:name w:val="volume"/>
    <w:basedOn w:val="DefaultParagraphFont"/>
    <w:rsid w:val="002546D4"/>
  </w:style>
  <w:style w:type="character" w:customStyle="1" w:styleId="issue">
    <w:name w:val="issue"/>
    <w:basedOn w:val="DefaultParagraphFont"/>
    <w:rsid w:val="002546D4"/>
  </w:style>
  <w:style w:type="character" w:customStyle="1" w:styleId="pages">
    <w:name w:val="pages"/>
    <w:basedOn w:val="DefaultParagraphFont"/>
    <w:rsid w:val="002546D4"/>
  </w:style>
  <w:style w:type="character" w:customStyle="1" w:styleId="src1">
    <w:name w:val="src1"/>
    <w:rsid w:val="002546D4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254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47"/>
    <w:rPr>
      <w:rFonts w:ascii="Arial" w:eastAsia="MS Mincho" w:hAnsi="Arial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21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47"/>
    <w:rPr>
      <w:rFonts w:ascii="Arial" w:eastAsia="MS Mincho" w:hAnsi="Arial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1142</Words>
  <Characters>6510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J. Canter</dc:creator>
  <cp:lastModifiedBy>Robert Steffner</cp:lastModifiedBy>
  <cp:revision>7</cp:revision>
  <dcterms:created xsi:type="dcterms:W3CDTF">2019-05-28T05:18:00Z</dcterms:created>
  <dcterms:modified xsi:type="dcterms:W3CDTF">2020-09-16T20:08:00Z</dcterms:modified>
</cp:coreProperties>
</file>