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AD53" w14:textId="77777777" w:rsidR="000F1748" w:rsidRDefault="000F1748" w:rsidP="000F1748">
      <w:pPr>
        <w:pStyle w:val="OMBInfo"/>
      </w:pPr>
      <w:r>
        <w:t>OMB No. 0925-0001 and 0925-0002 (Rev. 09/17 Approved Through 03/31/2020)</w:t>
      </w:r>
    </w:p>
    <w:p w14:paraId="167B24DF" w14:textId="77777777" w:rsidR="000F1748" w:rsidRDefault="000F1748" w:rsidP="000F1748">
      <w:pPr>
        <w:pStyle w:val="Title"/>
      </w:pPr>
      <w:r>
        <w:t>BIOGRAPHICAL SKETCH</w:t>
      </w:r>
    </w:p>
    <w:p w14:paraId="0D422FB8" w14:textId="77777777" w:rsidR="000F1748" w:rsidRDefault="000F1748" w:rsidP="000F1748">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465A00D7" w14:textId="59294AF2" w:rsidR="00812185" w:rsidRPr="009E294F"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800213">
        <w:rPr>
          <w:sz w:val="22"/>
          <w:szCs w:val="22"/>
        </w:rPr>
        <w:t xml:space="preserve"> </w:t>
      </w:r>
      <w:r w:rsidR="009E294F" w:rsidRPr="009E294F">
        <w:rPr>
          <w:sz w:val="22"/>
          <w:szCs w:val="22"/>
        </w:rPr>
        <w:t>Miklos, David B.</w:t>
      </w:r>
    </w:p>
    <w:p w14:paraId="09B9A477" w14:textId="62286850"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w:t>
      </w:r>
      <w:proofErr w:type="gramStart"/>
      <w:r w:rsidRPr="00D51DC4">
        <w:rPr>
          <w:sz w:val="22"/>
          <w:szCs w:val="22"/>
        </w:rPr>
        <w:t xml:space="preserve">NAME </w:t>
      </w:r>
      <w:r w:rsidR="00AF6464">
        <w:rPr>
          <w:sz w:val="22"/>
          <w:szCs w:val="22"/>
        </w:rPr>
        <w:t>:</w:t>
      </w:r>
      <w:proofErr w:type="gramEnd"/>
      <w:r w:rsidR="00AF6464">
        <w:rPr>
          <w:sz w:val="22"/>
          <w:szCs w:val="22"/>
        </w:rPr>
        <w:t xml:space="preserve"> </w:t>
      </w:r>
      <w:r w:rsidR="009E294F">
        <w:rPr>
          <w:color w:val="000000"/>
          <w:sz w:val="20"/>
        </w:rPr>
        <w:t>MIKLOS.DAVID</w:t>
      </w:r>
    </w:p>
    <w:p w14:paraId="56F482C9" w14:textId="043CB437" w:rsidR="00812185" w:rsidRPr="009E294F" w:rsidRDefault="00812185" w:rsidP="003E1568">
      <w:pPr>
        <w:pStyle w:val="FormFieldCaption1"/>
        <w:pBdr>
          <w:between w:val="single" w:sz="4" w:space="1" w:color="auto"/>
        </w:pBdr>
        <w:rPr>
          <w:sz w:val="22"/>
          <w:szCs w:val="22"/>
        </w:rPr>
      </w:pPr>
      <w:r w:rsidRPr="00D51DC4">
        <w:rPr>
          <w:sz w:val="22"/>
          <w:szCs w:val="22"/>
        </w:rPr>
        <w:t>POSITION TITLE</w:t>
      </w:r>
      <w:r w:rsidR="003E1568" w:rsidRPr="009E294F">
        <w:rPr>
          <w:sz w:val="22"/>
          <w:szCs w:val="22"/>
        </w:rPr>
        <w:t xml:space="preserve">: </w:t>
      </w:r>
      <w:r w:rsidR="00800213" w:rsidRPr="009E294F">
        <w:rPr>
          <w:sz w:val="22"/>
          <w:szCs w:val="22"/>
        </w:rPr>
        <w:t xml:space="preserve"> </w:t>
      </w:r>
      <w:r w:rsidR="006C046C">
        <w:rPr>
          <w:sz w:val="22"/>
          <w:szCs w:val="22"/>
        </w:rPr>
        <w:t xml:space="preserve">Associate </w:t>
      </w:r>
      <w:r w:rsidR="009E294F" w:rsidRPr="009E294F">
        <w:rPr>
          <w:sz w:val="22"/>
          <w:szCs w:val="22"/>
        </w:rPr>
        <w:t>Professor of Medicine</w:t>
      </w:r>
      <w:r w:rsidR="009E294F" w:rsidRPr="009E294F">
        <w:rPr>
          <w:color w:val="FF0000"/>
          <w:sz w:val="22"/>
          <w:szCs w:val="22"/>
        </w:rPr>
        <w:t xml:space="preserve"> </w:t>
      </w:r>
    </w:p>
    <w:p w14:paraId="5F01EC4F" w14:textId="7F0D1BE5" w:rsidR="00812185" w:rsidRPr="00D51DC4" w:rsidRDefault="00812185" w:rsidP="003E1568">
      <w:pPr>
        <w:pStyle w:val="FormFieldCaption1"/>
        <w:pBdr>
          <w:between w:val="single" w:sz="4" w:space="1" w:color="auto"/>
        </w:pBdr>
        <w:rPr>
          <w:sz w:val="22"/>
          <w:szCs w:val="22"/>
        </w:rPr>
      </w:pPr>
    </w:p>
    <w:tbl>
      <w:tblPr>
        <w:tblStyle w:val="TableGrid"/>
        <w:tblW w:w="10890" w:type="dxa"/>
        <w:tblBorders>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9E294F">
        <w:trPr>
          <w:cantSplit/>
          <w:tblHeader/>
        </w:trPr>
        <w:tc>
          <w:tcPr>
            <w:tcW w:w="5371" w:type="dxa"/>
            <w:tcBorders>
              <w:top w:val="single" w:sz="4" w:space="0" w:color="auto"/>
              <w:bottom w:val="single" w:sz="4" w:space="0" w:color="auto"/>
            </w:tcBorders>
            <w:vAlign w:val="center"/>
          </w:tcPr>
          <w:p w14:paraId="41712953" w14:textId="77777777" w:rsidR="00AF6464" w:rsidRDefault="00AF6464" w:rsidP="00E37E57">
            <w:pPr>
              <w:pStyle w:val="FormFieldCaption"/>
              <w:jc w:val="center"/>
              <w:rPr>
                <w:sz w:val="22"/>
                <w:szCs w:val="22"/>
              </w:rPr>
            </w:pPr>
            <w:r w:rsidRPr="00D51DC4">
              <w:rPr>
                <w:sz w:val="22"/>
                <w:szCs w:val="22"/>
              </w:rPr>
              <w:t xml:space="preserve">EDUCATION/TRAINING </w:t>
            </w:r>
          </w:p>
          <w:p w14:paraId="27B42E60" w14:textId="2D4B39A2"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1C8FD271" w:rsidR="00D825A1" w:rsidRPr="00D51DC4" w:rsidRDefault="00D825A1" w:rsidP="00E37E57">
            <w:pPr>
              <w:pStyle w:val="FormFieldCaption"/>
              <w:jc w:val="center"/>
              <w:rPr>
                <w:rStyle w:val="Emphasis"/>
                <w:sz w:val="22"/>
                <w:szCs w:val="22"/>
              </w:rPr>
            </w:pP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69FFD11" w14:textId="77777777" w:rsidR="00D825A1" w:rsidRPr="00D51DC4" w:rsidRDefault="00D825A1" w:rsidP="00AF6464">
            <w:pPr>
              <w:pStyle w:val="FormFieldCaption"/>
              <w:jc w:val="center"/>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9E294F">
        <w:trPr>
          <w:cantSplit/>
          <w:trHeight w:val="368"/>
        </w:trPr>
        <w:tc>
          <w:tcPr>
            <w:tcW w:w="5371" w:type="dxa"/>
            <w:tcBorders>
              <w:top w:val="single" w:sz="4" w:space="0" w:color="auto"/>
            </w:tcBorders>
            <w:vAlign w:val="center"/>
          </w:tcPr>
          <w:p w14:paraId="35367A2E" w14:textId="3FDF4C97" w:rsidR="00800213" w:rsidRPr="009E294F" w:rsidRDefault="009E294F" w:rsidP="009E294F">
            <w:pPr>
              <w:pStyle w:val="DataField11pt-Single"/>
            </w:pPr>
            <w:r w:rsidRPr="00F80043">
              <w:t>University of Notre Dame</w:t>
            </w:r>
            <w:r>
              <w:t>, South Bend, IN</w:t>
            </w:r>
          </w:p>
        </w:tc>
        <w:tc>
          <w:tcPr>
            <w:tcW w:w="1440" w:type="dxa"/>
            <w:tcBorders>
              <w:top w:val="single" w:sz="4" w:space="0" w:color="auto"/>
            </w:tcBorders>
            <w:vAlign w:val="center"/>
          </w:tcPr>
          <w:p w14:paraId="05F9FD99" w14:textId="7DD2FC44" w:rsidR="00D825A1" w:rsidRPr="009E294F" w:rsidRDefault="009E294F" w:rsidP="009E294F">
            <w:pPr>
              <w:pStyle w:val="DataField11pt-Single"/>
              <w:jc w:val="center"/>
            </w:pPr>
            <w:r w:rsidRPr="00F80043">
              <w:t>B.S.</w:t>
            </w:r>
          </w:p>
        </w:tc>
        <w:tc>
          <w:tcPr>
            <w:tcW w:w="1440" w:type="dxa"/>
            <w:tcBorders>
              <w:top w:val="single" w:sz="4" w:space="0" w:color="auto"/>
            </w:tcBorders>
            <w:vAlign w:val="center"/>
          </w:tcPr>
          <w:p w14:paraId="6282839D" w14:textId="5F439B58" w:rsidR="00D825A1" w:rsidRPr="00D51DC4" w:rsidRDefault="00AF6464" w:rsidP="009E294F">
            <w:pPr>
              <w:pStyle w:val="DataField11pt-Single"/>
              <w:jc w:val="center"/>
              <w:rPr>
                <w:szCs w:val="22"/>
              </w:rPr>
            </w:pPr>
            <w:r>
              <w:rPr>
                <w:szCs w:val="22"/>
              </w:rPr>
              <w:t>06/</w:t>
            </w:r>
            <w:r w:rsidR="009E294F">
              <w:rPr>
                <w:szCs w:val="22"/>
              </w:rPr>
              <w:t>1987</w:t>
            </w:r>
          </w:p>
        </w:tc>
        <w:tc>
          <w:tcPr>
            <w:tcW w:w="2592" w:type="dxa"/>
            <w:tcBorders>
              <w:top w:val="single" w:sz="4" w:space="0" w:color="auto"/>
            </w:tcBorders>
            <w:vAlign w:val="center"/>
          </w:tcPr>
          <w:p w14:paraId="4EC9730E" w14:textId="6648B64C" w:rsidR="00D825A1" w:rsidRPr="00D51DC4" w:rsidRDefault="00D825A1" w:rsidP="009E294F">
            <w:pPr>
              <w:pStyle w:val="DataField11pt-Single"/>
              <w:rPr>
                <w:szCs w:val="22"/>
              </w:rPr>
            </w:pPr>
          </w:p>
        </w:tc>
      </w:tr>
      <w:tr w:rsidR="00D825A1" w:rsidRPr="00D51DC4" w14:paraId="248D7AB0" w14:textId="77777777" w:rsidTr="009E294F">
        <w:trPr>
          <w:cantSplit/>
          <w:trHeight w:val="342"/>
        </w:trPr>
        <w:tc>
          <w:tcPr>
            <w:tcW w:w="5371" w:type="dxa"/>
            <w:vAlign w:val="center"/>
          </w:tcPr>
          <w:p w14:paraId="6712090C" w14:textId="6DACFDD4" w:rsidR="00D825A1" w:rsidRPr="00D51DC4" w:rsidRDefault="009E294F" w:rsidP="009E294F">
            <w:pPr>
              <w:pStyle w:val="DataField11pt-Single"/>
              <w:rPr>
                <w:szCs w:val="22"/>
              </w:rPr>
            </w:pPr>
            <w:r w:rsidRPr="00F80043">
              <w:t>Yale University School of Medicine</w:t>
            </w:r>
            <w:r>
              <w:t>, New Haven, CT</w:t>
            </w:r>
          </w:p>
        </w:tc>
        <w:tc>
          <w:tcPr>
            <w:tcW w:w="1440" w:type="dxa"/>
            <w:vAlign w:val="center"/>
          </w:tcPr>
          <w:p w14:paraId="39F1F218" w14:textId="7516F18B" w:rsidR="00D825A1" w:rsidRPr="00D51DC4" w:rsidRDefault="009E294F" w:rsidP="009E294F">
            <w:pPr>
              <w:pStyle w:val="DataField11pt-Single"/>
              <w:jc w:val="center"/>
              <w:rPr>
                <w:szCs w:val="22"/>
              </w:rPr>
            </w:pPr>
            <w:r w:rsidRPr="00F80043">
              <w:t>M.D./</w:t>
            </w:r>
            <w:proofErr w:type="gramStart"/>
            <w:r w:rsidRPr="00F80043">
              <w:t>Ph.D</w:t>
            </w:r>
            <w:proofErr w:type="gramEnd"/>
          </w:p>
        </w:tc>
        <w:tc>
          <w:tcPr>
            <w:tcW w:w="1440" w:type="dxa"/>
            <w:vAlign w:val="center"/>
          </w:tcPr>
          <w:p w14:paraId="11E1604F" w14:textId="06E4C9C2" w:rsidR="00D825A1" w:rsidRPr="00D51DC4" w:rsidRDefault="00AF6464" w:rsidP="009E294F">
            <w:pPr>
              <w:pStyle w:val="DataField11pt-Single"/>
              <w:jc w:val="center"/>
              <w:rPr>
                <w:szCs w:val="22"/>
              </w:rPr>
            </w:pPr>
            <w:r>
              <w:rPr>
                <w:szCs w:val="22"/>
              </w:rPr>
              <w:t>06/</w:t>
            </w:r>
            <w:r w:rsidR="009E294F">
              <w:rPr>
                <w:szCs w:val="22"/>
              </w:rPr>
              <w:t>1995</w:t>
            </w:r>
          </w:p>
        </w:tc>
        <w:tc>
          <w:tcPr>
            <w:tcW w:w="2592" w:type="dxa"/>
            <w:vAlign w:val="center"/>
          </w:tcPr>
          <w:p w14:paraId="0E386528" w14:textId="3BC8CB46" w:rsidR="00D825A1" w:rsidRPr="00D51DC4" w:rsidRDefault="009E294F" w:rsidP="009E294F">
            <w:pPr>
              <w:pStyle w:val="DataField11pt-Single"/>
              <w:rPr>
                <w:szCs w:val="22"/>
              </w:rPr>
            </w:pPr>
            <w:r>
              <w:rPr>
                <w:szCs w:val="22"/>
              </w:rPr>
              <w:t>Medicine</w:t>
            </w:r>
          </w:p>
        </w:tc>
      </w:tr>
      <w:tr w:rsidR="00D825A1" w:rsidRPr="00D51DC4" w14:paraId="50DEE70B" w14:textId="77777777" w:rsidTr="009E294F">
        <w:trPr>
          <w:cantSplit/>
          <w:trHeight w:val="288"/>
        </w:trPr>
        <w:tc>
          <w:tcPr>
            <w:tcW w:w="5371" w:type="dxa"/>
            <w:vAlign w:val="center"/>
          </w:tcPr>
          <w:p w14:paraId="2285856F" w14:textId="7AF6B91E" w:rsidR="00D825A1" w:rsidRPr="009E294F" w:rsidRDefault="009E294F" w:rsidP="009E294F">
            <w:pPr>
              <w:pStyle w:val="DataField11pt-Single"/>
            </w:pPr>
            <w:r>
              <w:t>Yale University, New Haven, CT</w:t>
            </w:r>
          </w:p>
        </w:tc>
        <w:tc>
          <w:tcPr>
            <w:tcW w:w="1440" w:type="dxa"/>
            <w:vAlign w:val="center"/>
          </w:tcPr>
          <w:p w14:paraId="775CBF13" w14:textId="587AB261" w:rsidR="00D825A1" w:rsidRPr="009E294F" w:rsidRDefault="009E294F" w:rsidP="009E294F">
            <w:pPr>
              <w:pStyle w:val="DataField11pt-Single"/>
              <w:jc w:val="center"/>
            </w:pPr>
            <w:r w:rsidRPr="00F80043">
              <w:t>Ph.D.</w:t>
            </w:r>
          </w:p>
        </w:tc>
        <w:tc>
          <w:tcPr>
            <w:tcW w:w="1440" w:type="dxa"/>
            <w:vAlign w:val="center"/>
          </w:tcPr>
          <w:p w14:paraId="3C1B2E3E" w14:textId="5E884782" w:rsidR="00D825A1" w:rsidRPr="00D51DC4" w:rsidRDefault="00AF6464" w:rsidP="009E294F">
            <w:pPr>
              <w:pStyle w:val="DataField11pt-Single"/>
              <w:jc w:val="center"/>
              <w:rPr>
                <w:szCs w:val="22"/>
              </w:rPr>
            </w:pPr>
            <w:r>
              <w:rPr>
                <w:szCs w:val="22"/>
              </w:rPr>
              <w:t>06/</w:t>
            </w:r>
            <w:r w:rsidR="009E294F">
              <w:rPr>
                <w:szCs w:val="22"/>
              </w:rPr>
              <w:t>1995</w:t>
            </w:r>
          </w:p>
        </w:tc>
        <w:tc>
          <w:tcPr>
            <w:tcW w:w="2592" w:type="dxa"/>
            <w:vAlign w:val="center"/>
          </w:tcPr>
          <w:p w14:paraId="79C9E18D" w14:textId="212B0A22" w:rsidR="00D825A1" w:rsidRPr="00D51DC4" w:rsidRDefault="009E294F" w:rsidP="009E294F">
            <w:pPr>
              <w:pStyle w:val="DataField11pt-Single"/>
              <w:rPr>
                <w:szCs w:val="22"/>
              </w:rPr>
            </w:pPr>
            <w:r>
              <w:rPr>
                <w:szCs w:val="22"/>
              </w:rPr>
              <w:t>Genetics</w:t>
            </w:r>
          </w:p>
        </w:tc>
      </w:tr>
      <w:tr w:rsidR="00240E97" w:rsidRPr="00D51DC4" w14:paraId="2A2B55F6" w14:textId="77777777" w:rsidTr="009E294F">
        <w:trPr>
          <w:cantSplit/>
          <w:trHeight w:val="342"/>
        </w:trPr>
        <w:tc>
          <w:tcPr>
            <w:tcW w:w="5371" w:type="dxa"/>
            <w:vAlign w:val="center"/>
          </w:tcPr>
          <w:p w14:paraId="6C2F09A6" w14:textId="39B3098E" w:rsidR="00240E97" w:rsidRPr="009E294F" w:rsidRDefault="009E294F" w:rsidP="009E294F">
            <w:pPr>
              <w:pStyle w:val="DataField11pt-Single"/>
            </w:pPr>
            <w:r w:rsidRPr="00F80043">
              <w:t>Brigham and Women’s Hospital, Boston, MA</w:t>
            </w:r>
          </w:p>
        </w:tc>
        <w:tc>
          <w:tcPr>
            <w:tcW w:w="1440" w:type="dxa"/>
            <w:vAlign w:val="center"/>
          </w:tcPr>
          <w:p w14:paraId="639222BC" w14:textId="77777777" w:rsidR="00240E97" w:rsidRPr="00D51DC4" w:rsidRDefault="00240E97" w:rsidP="009E294F">
            <w:pPr>
              <w:pStyle w:val="DataField11pt-Single"/>
              <w:jc w:val="center"/>
              <w:rPr>
                <w:szCs w:val="22"/>
              </w:rPr>
            </w:pPr>
          </w:p>
        </w:tc>
        <w:tc>
          <w:tcPr>
            <w:tcW w:w="1440" w:type="dxa"/>
            <w:vAlign w:val="center"/>
          </w:tcPr>
          <w:p w14:paraId="784B79C2" w14:textId="7118B6A5" w:rsidR="00240E97" w:rsidRPr="00D51DC4" w:rsidRDefault="00AF6464" w:rsidP="009E294F">
            <w:pPr>
              <w:pStyle w:val="DataField11pt-Single"/>
              <w:jc w:val="center"/>
              <w:rPr>
                <w:szCs w:val="22"/>
              </w:rPr>
            </w:pPr>
            <w:r>
              <w:rPr>
                <w:szCs w:val="22"/>
              </w:rPr>
              <w:t>06/</w:t>
            </w:r>
            <w:r w:rsidR="009E294F">
              <w:rPr>
                <w:szCs w:val="22"/>
              </w:rPr>
              <w:t>1998</w:t>
            </w:r>
          </w:p>
        </w:tc>
        <w:tc>
          <w:tcPr>
            <w:tcW w:w="2592" w:type="dxa"/>
            <w:vAlign w:val="center"/>
          </w:tcPr>
          <w:p w14:paraId="028B0429" w14:textId="0B307BB1" w:rsidR="00240E97" w:rsidRPr="00D51DC4" w:rsidRDefault="009E294F" w:rsidP="009E294F">
            <w:pPr>
              <w:pStyle w:val="DataField11pt-Single"/>
              <w:rPr>
                <w:szCs w:val="22"/>
              </w:rPr>
            </w:pPr>
            <w:r>
              <w:rPr>
                <w:szCs w:val="22"/>
              </w:rPr>
              <w:t>Internal Medicine</w:t>
            </w:r>
          </w:p>
        </w:tc>
      </w:tr>
      <w:tr w:rsidR="00240E97" w:rsidRPr="00D51DC4" w14:paraId="3FEC5642" w14:textId="77777777" w:rsidTr="009E294F">
        <w:trPr>
          <w:cantSplit/>
          <w:trHeight w:val="360"/>
        </w:trPr>
        <w:tc>
          <w:tcPr>
            <w:tcW w:w="5371" w:type="dxa"/>
            <w:vAlign w:val="center"/>
          </w:tcPr>
          <w:p w14:paraId="3281CEA6" w14:textId="38E83D8C" w:rsidR="00240E97" w:rsidRPr="00D51DC4" w:rsidRDefault="009E294F" w:rsidP="009E294F">
            <w:pPr>
              <w:pStyle w:val="DataField11pt-Single"/>
              <w:rPr>
                <w:szCs w:val="22"/>
              </w:rPr>
            </w:pPr>
            <w:r w:rsidRPr="00F80043">
              <w:t>Dana Farber Cancer Institute, Boston, MA</w:t>
            </w:r>
          </w:p>
        </w:tc>
        <w:tc>
          <w:tcPr>
            <w:tcW w:w="1440" w:type="dxa"/>
            <w:vAlign w:val="center"/>
          </w:tcPr>
          <w:p w14:paraId="38E1734C" w14:textId="77777777" w:rsidR="00240E97" w:rsidRPr="00D51DC4" w:rsidRDefault="00240E97" w:rsidP="009E294F">
            <w:pPr>
              <w:pStyle w:val="DataField11pt-Single"/>
              <w:jc w:val="center"/>
              <w:rPr>
                <w:szCs w:val="22"/>
              </w:rPr>
            </w:pPr>
          </w:p>
        </w:tc>
        <w:tc>
          <w:tcPr>
            <w:tcW w:w="1440" w:type="dxa"/>
            <w:vAlign w:val="center"/>
          </w:tcPr>
          <w:p w14:paraId="3C10FEE7" w14:textId="1154E0E2" w:rsidR="00240E97" w:rsidRPr="00D51DC4" w:rsidRDefault="00AF6464" w:rsidP="009E294F">
            <w:pPr>
              <w:pStyle w:val="DataField11pt-Single"/>
              <w:jc w:val="center"/>
              <w:rPr>
                <w:szCs w:val="22"/>
              </w:rPr>
            </w:pPr>
            <w:r>
              <w:rPr>
                <w:szCs w:val="22"/>
              </w:rPr>
              <w:t>06/</w:t>
            </w:r>
            <w:r w:rsidR="009E294F">
              <w:rPr>
                <w:szCs w:val="22"/>
              </w:rPr>
              <w:t>2001</w:t>
            </w:r>
          </w:p>
        </w:tc>
        <w:tc>
          <w:tcPr>
            <w:tcW w:w="2592" w:type="dxa"/>
            <w:vAlign w:val="center"/>
          </w:tcPr>
          <w:p w14:paraId="730FCB04" w14:textId="5E05F7C3" w:rsidR="00240E97" w:rsidRPr="00D51DC4" w:rsidRDefault="009E294F" w:rsidP="009E294F">
            <w:pPr>
              <w:pStyle w:val="DataField11pt-Single"/>
              <w:rPr>
                <w:szCs w:val="22"/>
              </w:rPr>
            </w:pPr>
            <w:r>
              <w:rPr>
                <w:szCs w:val="22"/>
              </w:rPr>
              <w:t>Hematology/Oncology</w:t>
            </w:r>
          </w:p>
        </w:tc>
      </w:tr>
    </w:tbl>
    <w:p w14:paraId="4DF5C4FE" w14:textId="4FA5362D" w:rsidR="00E67A05" w:rsidRDefault="009E294F" w:rsidP="009E294F">
      <w:pPr>
        <w:pStyle w:val="Heading1"/>
      </w:pPr>
      <w:r>
        <w:t xml:space="preserve">A.  </w:t>
      </w:r>
      <w:r w:rsidR="00E67A05" w:rsidRPr="00B13DB3">
        <w:t>P</w:t>
      </w:r>
      <w:r w:rsidR="0049068A">
        <w:t>ersonal Statement</w:t>
      </w:r>
    </w:p>
    <w:p w14:paraId="58368A42" w14:textId="7B31CF67" w:rsidR="00B902BB" w:rsidRDefault="000C6AD3" w:rsidP="00B902BB">
      <w:pPr>
        <w:pStyle w:val="TableDataLeft"/>
        <w:rPr>
          <w:rFonts w:cs="Arial"/>
          <w:sz w:val="22"/>
          <w:szCs w:val="22"/>
        </w:rPr>
      </w:pPr>
      <w:r w:rsidRPr="00C0692F">
        <w:rPr>
          <w:rFonts w:cs="Arial"/>
          <w:sz w:val="22"/>
          <w:szCs w:val="22"/>
        </w:rPr>
        <w:t xml:space="preserve">I am a physician-scientist </w:t>
      </w:r>
      <w:r w:rsidR="00424380">
        <w:rPr>
          <w:rFonts w:cs="Arial"/>
          <w:sz w:val="22"/>
          <w:szCs w:val="22"/>
        </w:rPr>
        <w:t>focusing on</w:t>
      </w:r>
      <w:r w:rsidRPr="00C0692F">
        <w:rPr>
          <w:rFonts w:cs="Arial"/>
          <w:sz w:val="22"/>
          <w:szCs w:val="22"/>
        </w:rPr>
        <w:t xml:space="preserve"> human translational </w:t>
      </w:r>
      <w:r w:rsidR="006C046C" w:rsidRPr="00C0692F">
        <w:rPr>
          <w:rFonts w:cs="Arial"/>
          <w:sz w:val="22"/>
          <w:szCs w:val="22"/>
        </w:rPr>
        <w:t xml:space="preserve">immunology </w:t>
      </w:r>
      <w:r w:rsidRPr="00C0692F">
        <w:rPr>
          <w:rFonts w:cs="Arial"/>
          <w:sz w:val="22"/>
          <w:szCs w:val="22"/>
        </w:rPr>
        <w:t>research</w:t>
      </w:r>
      <w:r w:rsidR="00424380">
        <w:rPr>
          <w:rFonts w:cs="Arial"/>
          <w:sz w:val="22"/>
          <w:szCs w:val="22"/>
        </w:rPr>
        <w:t>, and I have a strong track record mentoring and promoting</w:t>
      </w:r>
      <w:r w:rsidRPr="00C0692F">
        <w:rPr>
          <w:rFonts w:cs="Arial"/>
          <w:sz w:val="22"/>
          <w:szCs w:val="22"/>
        </w:rPr>
        <w:t xml:space="preserve"> laboratory immunologists</w:t>
      </w:r>
      <w:r w:rsidR="00424380">
        <w:rPr>
          <w:rFonts w:cs="Arial"/>
          <w:sz w:val="22"/>
          <w:szCs w:val="22"/>
        </w:rPr>
        <w:t xml:space="preserve"> </w:t>
      </w:r>
      <w:r w:rsidRPr="00C0692F">
        <w:rPr>
          <w:rFonts w:cs="Arial"/>
          <w:sz w:val="22"/>
          <w:szCs w:val="22"/>
        </w:rPr>
        <w:t>and clinical</w:t>
      </w:r>
      <w:r w:rsidR="00C0692F">
        <w:rPr>
          <w:rFonts w:cs="Arial"/>
          <w:sz w:val="22"/>
          <w:szCs w:val="22"/>
        </w:rPr>
        <w:t>-</w:t>
      </w:r>
      <w:r w:rsidRPr="00C0692F">
        <w:rPr>
          <w:rFonts w:cs="Arial"/>
          <w:sz w:val="22"/>
          <w:szCs w:val="22"/>
        </w:rPr>
        <w:t xml:space="preserve">translational </w:t>
      </w:r>
      <w:r w:rsidR="00424380">
        <w:rPr>
          <w:rFonts w:cs="Arial"/>
          <w:sz w:val="22"/>
          <w:szCs w:val="22"/>
        </w:rPr>
        <w:t>researchers</w:t>
      </w:r>
      <w:r w:rsidRPr="00C0692F">
        <w:rPr>
          <w:rFonts w:cs="Arial"/>
          <w:sz w:val="22"/>
          <w:szCs w:val="22"/>
        </w:rPr>
        <w:t xml:space="preserve">.  My laboratory research focuses on </w:t>
      </w:r>
      <w:r w:rsidR="005E7763" w:rsidRPr="00C0692F">
        <w:rPr>
          <w:rFonts w:cs="Arial"/>
          <w:sz w:val="22"/>
          <w:szCs w:val="22"/>
        </w:rPr>
        <w:t xml:space="preserve">1) </w:t>
      </w:r>
      <w:r w:rsidRPr="00C0692F">
        <w:rPr>
          <w:rFonts w:cs="Arial"/>
          <w:sz w:val="22"/>
          <w:szCs w:val="22"/>
        </w:rPr>
        <w:t>B cell reconstitution after allogeneic hematopoietic ce</w:t>
      </w:r>
      <w:r w:rsidR="005E7763" w:rsidRPr="00C0692F">
        <w:rPr>
          <w:rFonts w:cs="Arial"/>
          <w:sz w:val="22"/>
          <w:szCs w:val="22"/>
        </w:rPr>
        <w:t>ll transplantation (allo</w:t>
      </w:r>
      <w:r w:rsidRPr="00C0692F">
        <w:rPr>
          <w:rFonts w:cs="Arial"/>
          <w:sz w:val="22"/>
          <w:szCs w:val="22"/>
        </w:rPr>
        <w:t>HCT)</w:t>
      </w:r>
      <w:r w:rsidR="00C0692F">
        <w:rPr>
          <w:rFonts w:cs="Arial"/>
          <w:sz w:val="22"/>
          <w:szCs w:val="22"/>
        </w:rPr>
        <w:t>,</w:t>
      </w:r>
      <w:r w:rsidRPr="00C0692F">
        <w:rPr>
          <w:rFonts w:cs="Arial"/>
          <w:sz w:val="22"/>
          <w:szCs w:val="22"/>
        </w:rPr>
        <w:t xml:space="preserve"> </w:t>
      </w:r>
      <w:r w:rsidR="005E7763" w:rsidRPr="00C0692F">
        <w:rPr>
          <w:rFonts w:cs="Arial"/>
          <w:sz w:val="22"/>
          <w:szCs w:val="22"/>
        </w:rPr>
        <w:t xml:space="preserve">2) </w:t>
      </w:r>
      <w:r w:rsidRPr="00C0692F">
        <w:rPr>
          <w:rFonts w:cs="Arial"/>
          <w:sz w:val="22"/>
          <w:szCs w:val="22"/>
        </w:rPr>
        <w:t>lymphoid neoplasia minimal residual disease (MRD) quantification using Immune receptor high t</w:t>
      </w:r>
      <w:r w:rsidR="005E7763" w:rsidRPr="00C0692F">
        <w:rPr>
          <w:rFonts w:cs="Arial"/>
          <w:sz w:val="22"/>
          <w:szCs w:val="22"/>
        </w:rPr>
        <w:t>hroughput sequencing technology</w:t>
      </w:r>
      <w:r w:rsidR="00C0692F">
        <w:rPr>
          <w:rFonts w:cs="Arial"/>
          <w:sz w:val="22"/>
          <w:szCs w:val="22"/>
        </w:rPr>
        <w:t>,</w:t>
      </w:r>
      <w:r w:rsidR="005E7763" w:rsidRPr="00C0692F">
        <w:rPr>
          <w:rFonts w:cs="Arial"/>
          <w:sz w:val="22"/>
          <w:szCs w:val="22"/>
        </w:rPr>
        <w:t xml:space="preserve"> 3) prevention and treatment of chronic Graft versus</w:t>
      </w:r>
      <w:r w:rsidR="00EE27AA" w:rsidRPr="00C0692F">
        <w:rPr>
          <w:rFonts w:cs="Arial"/>
          <w:sz w:val="22"/>
          <w:szCs w:val="22"/>
        </w:rPr>
        <w:t xml:space="preserve"> host disease (cGVHD)</w:t>
      </w:r>
      <w:r w:rsidR="00C0692F">
        <w:rPr>
          <w:rFonts w:cs="Arial"/>
          <w:sz w:val="22"/>
          <w:szCs w:val="22"/>
        </w:rPr>
        <w:t>,</w:t>
      </w:r>
      <w:r w:rsidR="00EE27AA" w:rsidRPr="00C0692F">
        <w:rPr>
          <w:rFonts w:cs="Arial"/>
          <w:sz w:val="22"/>
          <w:szCs w:val="22"/>
        </w:rPr>
        <w:t xml:space="preserve"> and 4) CAR-T </w:t>
      </w:r>
      <w:r w:rsidR="00072D72" w:rsidRPr="00C0692F">
        <w:rPr>
          <w:rFonts w:cs="Arial"/>
          <w:sz w:val="22"/>
          <w:szCs w:val="22"/>
        </w:rPr>
        <w:t>Cancer Cell Therapies</w:t>
      </w:r>
      <w:r w:rsidR="009432D9">
        <w:rPr>
          <w:rFonts w:cs="Arial"/>
          <w:sz w:val="22"/>
          <w:szCs w:val="22"/>
        </w:rPr>
        <w:t xml:space="preserve"> </w:t>
      </w:r>
      <w:r w:rsidR="009432D9" w:rsidRPr="00C0692F">
        <w:rPr>
          <w:rFonts w:cs="Arial"/>
          <w:sz w:val="22"/>
          <w:szCs w:val="22"/>
        </w:rPr>
        <w:t>(CAR-T)</w:t>
      </w:r>
      <w:r w:rsidR="00072D72" w:rsidRPr="00C0692F">
        <w:rPr>
          <w:rFonts w:cs="Arial"/>
          <w:sz w:val="22"/>
          <w:szCs w:val="22"/>
        </w:rPr>
        <w:t xml:space="preserve">. </w:t>
      </w:r>
      <w:r w:rsidR="006C046C" w:rsidRPr="00C0692F">
        <w:rPr>
          <w:rFonts w:cs="Arial"/>
          <w:sz w:val="22"/>
          <w:szCs w:val="22"/>
        </w:rPr>
        <w:t xml:space="preserve">With my promotion to Associate Professor </w:t>
      </w:r>
      <w:r w:rsidR="00424380">
        <w:rPr>
          <w:rFonts w:cs="Arial"/>
          <w:sz w:val="22"/>
          <w:szCs w:val="22"/>
        </w:rPr>
        <w:t>s</w:t>
      </w:r>
      <w:r w:rsidR="00262874" w:rsidRPr="00C0692F">
        <w:rPr>
          <w:rFonts w:cs="Arial"/>
          <w:sz w:val="22"/>
          <w:szCs w:val="22"/>
        </w:rPr>
        <w:t>pring</w:t>
      </w:r>
      <w:r w:rsidR="006C046C" w:rsidRPr="00C0692F">
        <w:rPr>
          <w:rFonts w:cs="Arial"/>
          <w:sz w:val="22"/>
          <w:szCs w:val="22"/>
        </w:rPr>
        <w:t xml:space="preserve"> 2016, </w:t>
      </w:r>
      <w:r w:rsidR="00072D72" w:rsidRPr="00C0692F">
        <w:rPr>
          <w:rFonts w:cs="Arial"/>
          <w:sz w:val="22"/>
          <w:szCs w:val="22"/>
        </w:rPr>
        <w:t xml:space="preserve">I </w:t>
      </w:r>
      <w:r w:rsidR="00262874" w:rsidRPr="00C0692F">
        <w:rPr>
          <w:rFonts w:cs="Arial"/>
          <w:sz w:val="22"/>
          <w:szCs w:val="22"/>
        </w:rPr>
        <w:t xml:space="preserve">became Clinical Director of Stanford’s </w:t>
      </w:r>
      <w:r w:rsidR="00C445AC" w:rsidRPr="00C0692F">
        <w:rPr>
          <w:rFonts w:cs="Arial"/>
          <w:sz w:val="22"/>
          <w:szCs w:val="22"/>
        </w:rPr>
        <w:t>C</w:t>
      </w:r>
      <w:r w:rsidR="006C046C" w:rsidRPr="00C0692F">
        <w:rPr>
          <w:rFonts w:cs="Arial"/>
          <w:sz w:val="22"/>
          <w:szCs w:val="22"/>
        </w:rPr>
        <w:t xml:space="preserve">ancer </w:t>
      </w:r>
      <w:r w:rsidR="009432D9">
        <w:rPr>
          <w:rFonts w:cs="Arial"/>
          <w:sz w:val="22"/>
          <w:szCs w:val="22"/>
        </w:rPr>
        <w:t>Cell Therapy (CCT) Program</w:t>
      </w:r>
      <w:r w:rsidR="00C0692F">
        <w:rPr>
          <w:rFonts w:cs="Arial"/>
          <w:sz w:val="22"/>
          <w:szCs w:val="22"/>
        </w:rPr>
        <w:t xml:space="preserve">.  </w:t>
      </w:r>
      <w:r w:rsidR="00455189">
        <w:rPr>
          <w:rFonts w:cs="Arial"/>
          <w:sz w:val="22"/>
          <w:szCs w:val="22"/>
        </w:rPr>
        <w:t>Stanford performs 1</w:t>
      </w:r>
      <w:r w:rsidR="00B902BB">
        <w:rPr>
          <w:rFonts w:cs="Arial"/>
          <w:sz w:val="22"/>
          <w:szCs w:val="22"/>
        </w:rPr>
        <w:t xml:space="preserve">25 </w:t>
      </w:r>
      <w:r w:rsidR="00455189">
        <w:rPr>
          <w:rFonts w:cs="Arial"/>
          <w:sz w:val="22"/>
          <w:szCs w:val="22"/>
        </w:rPr>
        <w:t xml:space="preserve">CAR-T therapies annually characterized by comprehensive </w:t>
      </w:r>
      <w:r w:rsidR="00262874" w:rsidRPr="00C0692F">
        <w:rPr>
          <w:rFonts w:cs="Arial"/>
          <w:sz w:val="22"/>
          <w:szCs w:val="22"/>
        </w:rPr>
        <w:t xml:space="preserve">clinical </w:t>
      </w:r>
      <w:r w:rsidR="00072D72" w:rsidRPr="00C0692F">
        <w:rPr>
          <w:rFonts w:cs="Arial"/>
          <w:sz w:val="22"/>
          <w:szCs w:val="22"/>
        </w:rPr>
        <w:t>databases</w:t>
      </w:r>
      <w:r w:rsidR="00262874" w:rsidRPr="00C0692F">
        <w:rPr>
          <w:rFonts w:cs="Arial"/>
          <w:sz w:val="22"/>
          <w:szCs w:val="22"/>
        </w:rPr>
        <w:t xml:space="preserve"> with linked biorepositories f</w:t>
      </w:r>
      <w:r w:rsidR="009432D9">
        <w:rPr>
          <w:rFonts w:cs="Arial"/>
          <w:sz w:val="22"/>
          <w:szCs w:val="22"/>
        </w:rPr>
        <w:t>or both</w:t>
      </w:r>
      <w:r w:rsidR="00262874" w:rsidRPr="00C0692F">
        <w:rPr>
          <w:rFonts w:cs="Arial"/>
          <w:sz w:val="22"/>
          <w:szCs w:val="22"/>
        </w:rPr>
        <w:t xml:space="preserve"> </w:t>
      </w:r>
      <w:proofErr w:type="gramStart"/>
      <w:r w:rsidR="00262874" w:rsidRPr="00C0692F">
        <w:rPr>
          <w:rFonts w:cs="Arial"/>
          <w:sz w:val="22"/>
          <w:szCs w:val="22"/>
        </w:rPr>
        <w:t>industry</w:t>
      </w:r>
      <w:proofErr w:type="gramEnd"/>
      <w:r w:rsidR="00262874" w:rsidRPr="00C0692F">
        <w:rPr>
          <w:rFonts w:cs="Arial"/>
          <w:sz w:val="22"/>
          <w:szCs w:val="22"/>
        </w:rPr>
        <w:t xml:space="preserve"> sponsored and investigator initiated clinical trials</w:t>
      </w:r>
      <w:r w:rsidR="00EE27AA" w:rsidRPr="00C0692F">
        <w:rPr>
          <w:rFonts w:cs="Arial"/>
          <w:sz w:val="22"/>
          <w:szCs w:val="22"/>
        </w:rPr>
        <w:t xml:space="preserve">. </w:t>
      </w:r>
    </w:p>
    <w:p w14:paraId="49338A9A" w14:textId="0EEE36DD" w:rsidR="00EA2A0B" w:rsidRDefault="00B902BB" w:rsidP="009432D9">
      <w:pPr>
        <w:pStyle w:val="TableDataLeft"/>
        <w:rPr>
          <w:rFonts w:cs="Arial"/>
          <w:sz w:val="22"/>
          <w:szCs w:val="22"/>
        </w:rPr>
      </w:pPr>
      <w:r w:rsidRPr="00C0692F">
        <w:rPr>
          <w:rFonts w:cs="Arial"/>
          <w:sz w:val="22"/>
          <w:szCs w:val="22"/>
        </w:rPr>
        <w:t>Over the past 1</w:t>
      </w:r>
      <w:r>
        <w:rPr>
          <w:rFonts w:cs="Arial"/>
          <w:sz w:val="22"/>
          <w:szCs w:val="22"/>
        </w:rPr>
        <w:t>5</w:t>
      </w:r>
      <w:r w:rsidRPr="00C0692F">
        <w:rPr>
          <w:rFonts w:cs="Arial"/>
          <w:sz w:val="22"/>
          <w:szCs w:val="22"/>
        </w:rPr>
        <w:t xml:space="preserve"> years I have successfully mentored </w:t>
      </w:r>
      <w:r>
        <w:rPr>
          <w:rFonts w:cs="Arial"/>
          <w:sz w:val="22"/>
          <w:szCs w:val="22"/>
        </w:rPr>
        <w:t>1</w:t>
      </w:r>
      <w:r w:rsidR="00424380">
        <w:rPr>
          <w:rFonts w:cs="Arial"/>
          <w:sz w:val="22"/>
          <w:szCs w:val="22"/>
        </w:rPr>
        <w:t xml:space="preserve">1 </w:t>
      </w:r>
      <w:r>
        <w:rPr>
          <w:rFonts w:cs="Arial"/>
          <w:sz w:val="22"/>
          <w:szCs w:val="22"/>
        </w:rPr>
        <w:t>Heme</w:t>
      </w:r>
      <w:r w:rsidRPr="00C0692F">
        <w:rPr>
          <w:rFonts w:cs="Arial"/>
          <w:sz w:val="22"/>
          <w:szCs w:val="22"/>
        </w:rPr>
        <w:t xml:space="preserve">-BMT-CCT </w:t>
      </w:r>
      <w:r>
        <w:rPr>
          <w:rFonts w:cs="Arial"/>
          <w:sz w:val="22"/>
          <w:szCs w:val="22"/>
        </w:rPr>
        <w:t>fellows including</w:t>
      </w:r>
      <w:r w:rsidRPr="00C0692F">
        <w:rPr>
          <w:rFonts w:cs="Arial"/>
          <w:sz w:val="22"/>
          <w:szCs w:val="22"/>
        </w:rPr>
        <w:t>: George Chen MD (Roswell Park Research Institute), Aaron Logan MD/PhD (Univ. Cal. San Francisco), Everett Meyer MD/PhD (Stanford Univ.), and Hideki Nakasone MD (</w:t>
      </w:r>
      <w:proofErr w:type="spellStart"/>
      <w:r w:rsidRPr="00C0692F">
        <w:rPr>
          <w:rFonts w:cs="Arial"/>
          <w:sz w:val="22"/>
          <w:szCs w:val="22"/>
          <w:lang w:eastAsia="ja-JP"/>
        </w:rPr>
        <w:t>Jichi</w:t>
      </w:r>
      <w:proofErr w:type="spellEnd"/>
      <w:r w:rsidRPr="00C0692F">
        <w:rPr>
          <w:rFonts w:cs="Arial"/>
          <w:sz w:val="22"/>
          <w:szCs w:val="22"/>
          <w:lang w:eastAsia="ja-JP"/>
        </w:rPr>
        <w:t xml:space="preserve"> Medical University, Japan), Saurabh Dahiya (Univ. of Maryland),</w:t>
      </w:r>
      <w:r w:rsidR="00424380">
        <w:rPr>
          <w:rFonts w:cs="Arial"/>
          <w:sz w:val="22"/>
          <w:szCs w:val="22"/>
          <w:lang w:eastAsia="ja-JP"/>
        </w:rPr>
        <w:t xml:space="preserve"> </w:t>
      </w:r>
      <w:r w:rsidR="00424380">
        <w:rPr>
          <w:rFonts w:cs="Arial"/>
          <w:sz w:val="22"/>
          <w:szCs w:val="22"/>
        </w:rPr>
        <w:t xml:space="preserve">Nash Hossain (Loyola University) Lori Muffly (Stanford Univ), </w:t>
      </w:r>
      <w:r w:rsidR="00424380">
        <w:rPr>
          <w:rFonts w:cs="Arial"/>
          <w:sz w:val="22"/>
          <w:szCs w:val="22"/>
          <w:lang w:eastAsia="ja-JP"/>
        </w:rPr>
        <w:t>Surbhi Sidana (Stanford),</w:t>
      </w:r>
      <w:r w:rsidRPr="00C0692F">
        <w:rPr>
          <w:rFonts w:cs="Arial"/>
          <w:sz w:val="22"/>
          <w:szCs w:val="22"/>
          <w:lang w:eastAsia="ja-JP"/>
        </w:rPr>
        <w:t xml:space="preserve"> </w:t>
      </w:r>
      <w:r>
        <w:rPr>
          <w:rFonts w:cs="Arial"/>
          <w:sz w:val="22"/>
          <w:szCs w:val="22"/>
          <w:lang w:eastAsia="ja-JP"/>
        </w:rPr>
        <w:t>Matthew Frank (Stanford)</w:t>
      </w:r>
      <w:r w:rsidR="00424380">
        <w:rPr>
          <w:rFonts w:cs="Arial"/>
          <w:sz w:val="22"/>
          <w:szCs w:val="22"/>
        </w:rPr>
        <w:t xml:space="preserve">, Jay Spiegel (Stanford fellow), and John Baird (Stanford fellow). Starting January 2021, I will become </w:t>
      </w:r>
      <w:r w:rsidR="00466E93">
        <w:rPr>
          <w:rFonts w:cs="Arial"/>
          <w:sz w:val="22"/>
          <w:szCs w:val="22"/>
        </w:rPr>
        <w:t xml:space="preserve">Division Chief of Stanford BMT and Cell Therapy and continuing our BMT fellowship successes advancing clinical translational and physician </w:t>
      </w:r>
      <w:proofErr w:type="gramStart"/>
      <w:r w:rsidR="00466E93">
        <w:rPr>
          <w:rFonts w:cs="Arial"/>
          <w:sz w:val="22"/>
          <w:szCs w:val="22"/>
        </w:rPr>
        <w:t>scientists</w:t>
      </w:r>
      <w:proofErr w:type="gramEnd"/>
      <w:r w:rsidR="00466E93">
        <w:rPr>
          <w:rFonts w:cs="Arial"/>
          <w:sz w:val="22"/>
          <w:szCs w:val="22"/>
        </w:rPr>
        <w:t xml:space="preserve"> careers will remain my highest priority.</w:t>
      </w:r>
    </w:p>
    <w:p w14:paraId="36FF03C4" w14:textId="77777777" w:rsidR="00AF6464" w:rsidRDefault="00AF6464" w:rsidP="00AF6464">
      <w:pPr>
        <w:autoSpaceDE/>
        <w:autoSpaceDN/>
        <w:jc w:val="both"/>
        <w:rPr>
          <w:rFonts w:cs="Arial"/>
          <w:szCs w:val="22"/>
        </w:rPr>
      </w:pPr>
    </w:p>
    <w:p w14:paraId="4DF5C500" w14:textId="5E7E557B" w:rsidR="00E67A05" w:rsidRDefault="00E67A05" w:rsidP="00AF6464">
      <w:pPr>
        <w:autoSpaceDE/>
        <w:autoSpaceDN/>
        <w:jc w:val="both"/>
        <w:rPr>
          <w:b/>
        </w:rPr>
      </w:pPr>
      <w:r w:rsidRPr="00AF6464">
        <w:rPr>
          <w:b/>
        </w:rPr>
        <w:t>B</w:t>
      </w:r>
      <w:r w:rsidR="0049068A" w:rsidRPr="00AF6464">
        <w:rPr>
          <w:b/>
        </w:rPr>
        <w:t>. Positions and Honors</w:t>
      </w:r>
    </w:p>
    <w:p w14:paraId="2FA2263A" w14:textId="77777777" w:rsidR="00BB5B75" w:rsidRPr="00BB5B75" w:rsidRDefault="00BB5B75" w:rsidP="00AF6464">
      <w:pPr>
        <w:autoSpaceDE/>
        <w:autoSpaceDN/>
        <w:jc w:val="both"/>
        <w:rPr>
          <w:rFonts w:cs="Arial"/>
          <w:b/>
          <w:color w:val="000000"/>
          <w:sz w:val="12"/>
          <w:szCs w:val="12"/>
        </w:rPr>
      </w:pPr>
    </w:p>
    <w:p w14:paraId="3ECDC011" w14:textId="77777777" w:rsidR="009E294F" w:rsidRPr="009D734A" w:rsidRDefault="009E294F" w:rsidP="009E294F">
      <w:pPr>
        <w:tabs>
          <w:tab w:val="left" w:pos="1440"/>
        </w:tabs>
        <w:spacing w:line="240" w:lineRule="exact"/>
        <w:jc w:val="both"/>
      </w:pPr>
      <w:r w:rsidRPr="009D734A">
        <w:t>1989-1993</w:t>
      </w:r>
      <w:r w:rsidRPr="009D734A">
        <w:tab/>
      </w:r>
      <w:r>
        <w:tab/>
      </w:r>
      <w:r w:rsidRPr="009D734A">
        <w:t>Howard Hughes Medical Institute Predoctoral Fellowship</w:t>
      </w:r>
    </w:p>
    <w:p w14:paraId="764E20D7" w14:textId="77777777" w:rsidR="009E294F" w:rsidRDefault="009E294F" w:rsidP="009E294F">
      <w:pPr>
        <w:tabs>
          <w:tab w:val="left" w:pos="1440"/>
        </w:tabs>
        <w:spacing w:line="240" w:lineRule="exact"/>
        <w:jc w:val="both"/>
      </w:pPr>
      <w:r w:rsidRPr="009D734A">
        <w:t>1993-1995</w:t>
      </w:r>
      <w:r w:rsidRPr="009D734A">
        <w:tab/>
      </w:r>
      <w:r>
        <w:tab/>
      </w:r>
      <w:r w:rsidRPr="009D734A">
        <w:t>Medical Scientist Training Program Fellowship</w:t>
      </w:r>
    </w:p>
    <w:p w14:paraId="2E4EE20D" w14:textId="42B16FD1" w:rsidR="009E294F" w:rsidRPr="009D734A" w:rsidRDefault="00AF6464" w:rsidP="009E294F">
      <w:pPr>
        <w:tabs>
          <w:tab w:val="left" w:pos="1440"/>
        </w:tabs>
        <w:spacing w:line="240" w:lineRule="exact"/>
        <w:jc w:val="both"/>
      </w:pPr>
      <w:r>
        <w:t>1995-1998</w:t>
      </w:r>
      <w:r w:rsidR="009E294F" w:rsidRPr="009D734A">
        <w:tab/>
      </w:r>
      <w:r w:rsidR="009E294F">
        <w:tab/>
      </w:r>
      <w:r w:rsidR="009E294F" w:rsidRPr="009D734A">
        <w:t xml:space="preserve">Intern </w:t>
      </w:r>
      <w:r>
        <w:t xml:space="preserve">and Resident </w:t>
      </w:r>
      <w:r w:rsidR="009E294F" w:rsidRPr="009D734A">
        <w:t>in Medicine, Brigham and Women’s Hospital, Boston, Massachusetts</w:t>
      </w:r>
    </w:p>
    <w:p w14:paraId="55245B8F" w14:textId="77777777" w:rsidR="009E294F" w:rsidRDefault="009E294F" w:rsidP="009E294F">
      <w:pPr>
        <w:tabs>
          <w:tab w:val="left" w:pos="1440"/>
        </w:tabs>
        <w:spacing w:line="240" w:lineRule="exact"/>
        <w:jc w:val="both"/>
        <w:rPr>
          <w:spacing w:val="-6"/>
        </w:rPr>
      </w:pPr>
      <w:r w:rsidRPr="009D734A">
        <w:t>1998-2001</w:t>
      </w:r>
      <w:r w:rsidRPr="009D734A">
        <w:tab/>
      </w:r>
      <w:r>
        <w:tab/>
      </w:r>
      <w:r w:rsidRPr="009D734A">
        <w:rPr>
          <w:spacing w:val="-6"/>
        </w:rPr>
        <w:t>Clinical Fellow, Adult Hematology and Oncology, Dana-Farber/Partners Cancer Care, Boston, MA</w:t>
      </w:r>
    </w:p>
    <w:p w14:paraId="02750B5A" w14:textId="201EF313" w:rsidR="009E294F" w:rsidRPr="00950FEB" w:rsidRDefault="009E294F" w:rsidP="009E294F">
      <w:pPr>
        <w:tabs>
          <w:tab w:val="left" w:pos="1440"/>
        </w:tabs>
        <w:spacing w:line="240" w:lineRule="exact"/>
        <w:jc w:val="both"/>
      </w:pPr>
      <w:r w:rsidRPr="009D734A">
        <w:t>2001-2003</w:t>
      </w:r>
      <w:r w:rsidRPr="009D734A">
        <w:tab/>
      </w:r>
      <w:r>
        <w:tab/>
      </w:r>
      <w:r w:rsidRPr="009D734A">
        <w:t>Harvard-MIT Clinical Investigator Training Program Fellowship</w:t>
      </w:r>
    </w:p>
    <w:p w14:paraId="5F412EF2" w14:textId="77777777" w:rsidR="009E294F" w:rsidRDefault="009E294F" w:rsidP="009E294F">
      <w:pPr>
        <w:spacing w:before="80" w:line="240" w:lineRule="exact"/>
        <w:rPr>
          <w:u w:val="single"/>
        </w:rPr>
      </w:pPr>
      <w:r>
        <w:rPr>
          <w:u w:val="single"/>
        </w:rPr>
        <w:t>Academic Appointments</w:t>
      </w:r>
    </w:p>
    <w:p w14:paraId="62B2DD0B" w14:textId="77777777" w:rsidR="009E294F" w:rsidRPr="005B6FF3" w:rsidRDefault="009E294F" w:rsidP="009E294F">
      <w:pPr>
        <w:pStyle w:val="ListParagraph"/>
        <w:numPr>
          <w:ilvl w:val="1"/>
          <w:numId w:val="23"/>
        </w:numPr>
        <w:tabs>
          <w:tab w:val="clear" w:pos="1440"/>
          <w:tab w:val="left" w:pos="1800"/>
        </w:tabs>
        <w:autoSpaceDE/>
        <w:autoSpaceDN/>
        <w:spacing w:line="240" w:lineRule="exact"/>
        <w:ind w:left="1800" w:hanging="1800"/>
        <w:jc w:val="both"/>
      </w:pPr>
      <w:r w:rsidRPr="005B6FF3">
        <w:t>Instructor of Introduction to Clinical Medicine, Harvard Medical School</w:t>
      </w:r>
    </w:p>
    <w:p w14:paraId="02D6EBC1" w14:textId="77777777" w:rsidR="009E294F" w:rsidRPr="00CC0406" w:rsidRDefault="009E294F" w:rsidP="009E294F">
      <w:pPr>
        <w:tabs>
          <w:tab w:val="left" w:pos="1440"/>
        </w:tabs>
        <w:spacing w:line="240" w:lineRule="exact"/>
        <w:jc w:val="both"/>
      </w:pPr>
      <w:r>
        <w:t>2000-2004</w:t>
      </w:r>
      <w:r>
        <w:tab/>
      </w:r>
      <w:r>
        <w:tab/>
      </w:r>
      <w:r w:rsidRPr="00CC0406">
        <w:t>Hematology Tutorial Instructor, Harvard Medical School</w:t>
      </w:r>
    </w:p>
    <w:p w14:paraId="0A1F0F27" w14:textId="37C5EA05" w:rsidR="009E294F" w:rsidRPr="009D734A" w:rsidRDefault="009E294F" w:rsidP="009E294F">
      <w:pPr>
        <w:spacing w:line="240" w:lineRule="exact"/>
        <w:ind w:left="1800" w:hanging="1800"/>
        <w:jc w:val="both"/>
        <w:rPr>
          <w:spacing w:val="-6"/>
        </w:rPr>
      </w:pPr>
      <w:r>
        <w:rPr>
          <w:spacing w:val="-6"/>
        </w:rPr>
        <w:t>2001 2004</w:t>
      </w:r>
      <w:r>
        <w:rPr>
          <w:spacing w:val="-6"/>
        </w:rPr>
        <w:tab/>
      </w:r>
      <w:r w:rsidRPr="009D734A">
        <w:rPr>
          <w:spacing w:val="-6"/>
        </w:rPr>
        <w:t>Instructor in Me</w:t>
      </w:r>
      <w:r w:rsidR="00AF6464">
        <w:rPr>
          <w:spacing w:val="-6"/>
        </w:rPr>
        <w:t>dicine, Harvard Medical School</w:t>
      </w:r>
    </w:p>
    <w:p w14:paraId="611F4C89" w14:textId="55CC4A91" w:rsidR="009E294F" w:rsidRDefault="009E294F" w:rsidP="009E294F">
      <w:pPr>
        <w:tabs>
          <w:tab w:val="left" w:pos="1440"/>
        </w:tabs>
        <w:spacing w:line="240" w:lineRule="exact"/>
        <w:jc w:val="both"/>
      </w:pPr>
      <w:r w:rsidRPr="009D734A">
        <w:t>2004-</w:t>
      </w:r>
      <w:r w:rsidR="00C445AC">
        <w:t>2015</w:t>
      </w:r>
      <w:r w:rsidRPr="009D734A">
        <w:tab/>
      </w:r>
      <w:r>
        <w:tab/>
      </w:r>
      <w:r w:rsidRPr="009D734A">
        <w:t xml:space="preserve">Assistant Professor, Laboratory Principle Investigator, Stanford University, Department of </w:t>
      </w:r>
      <w:r w:rsidRPr="009D734A">
        <w:tab/>
      </w:r>
      <w:r>
        <w:tab/>
      </w:r>
      <w:r>
        <w:tab/>
      </w:r>
      <w:r w:rsidR="00AF6464">
        <w:t xml:space="preserve">Medicine, Division of Blood and </w:t>
      </w:r>
      <w:r w:rsidRPr="009D734A">
        <w:t>Marrow Transplantation</w:t>
      </w:r>
    </w:p>
    <w:p w14:paraId="73A86700" w14:textId="03DAC976" w:rsidR="00C445AC" w:rsidRPr="005B6FF3" w:rsidRDefault="00C445AC" w:rsidP="009E294F">
      <w:pPr>
        <w:tabs>
          <w:tab w:val="left" w:pos="1440"/>
        </w:tabs>
        <w:spacing w:line="240" w:lineRule="exact"/>
        <w:jc w:val="both"/>
      </w:pPr>
      <w:r>
        <w:t>2016-</w:t>
      </w:r>
      <w:r>
        <w:tab/>
      </w:r>
      <w:r>
        <w:tab/>
        <w:t>Associate</w:t>
      </w:r>
      <w:r w:rsidRPr="009D734A">
        <w:t xml:space="preserve"> Professor, Laboratory Principle Investigator, Stanford University, Department of </w:t>
      </w:r>
      <w:r w:rsidRPr="009D734A">
        <w:tab/>
      </w:r>
      <w:r>
        <w:tab/>
      </w:r>
      <w:r>
        <w:tab/>
        <w:t xml:space="preserve">Medicine, Division of Blood and </w:t>
      </w:r>
      <w:r w:rsidRPr="009D734A">
        <w:t>Marrow Transplantation</w:t>
      </w:r>
    </w:p>
    <w:p w14:paraId="37A3F0AA" w14:textId="77777777" w:rsidR="009432D9" w:rsidRDefault="009432D9" w:rsidP="009432D9">
      <w:pPr>
        <w:autoSpaceDE/>
        <w:autoSpaceDN/>
        <w:rPr>
          <w:u w:val="single"/>
        </w:rPr>
      </w:pPr>
    </w:p>
    <w:p w14:paraId="0BF1F0C6" w14:textId="0872D00B" w:rsidR="009E294F" w:rsidRDefault="009E294F" w:rsidP="009432D9">
      <w:pPr>
        <w:autoSpaceDE/>
        <w:autoSpaceDN/>
        <w:rPr>
          <w:u w:val="single"/>
        </w:rPr>
      </w:pPr>
      <w:r>
        <w:rPr>
          <w:u w:val="single"/>
        </w:rPr>
        <w:lastRenderedPageBreak/>
        <w:t>Awards and Honors</w:t>
      </w:r>
    </w:p>
    <w:p w14:paraId="5BAE89A2" w14:textId="77777777" w:rsidR="009E294F" w:rsidRPr="009D734A" w:rsidRDefault="009E294F" w:rsidP="009E294F">
      <w:pPr>
        <w:tabs>
          <w:tab w:val="left" w:pos="1440"/>
        </w:tabs>
        <w:spacing w:line="240" w:lineRule="exact"/>
        <w:jc w:val="both"/>
      </w:pPr>
      <w:r w:rsidRPr="009D734A">
        <w:t>1987</w:t>
      </w:r>
      <w:r w:rsidRPr="009D734A">
        <w:tab/>
      </w:r>
      <w:r>
        <w:tab/>
      </w:r>
      <w:r w:rsidRPr="009D734A">
        <w:t>Summa Cum Laude, University of Notre Dame</w:t>
      </w:r>
    </w:p>
    <w:p w14:paraId="51E30469" w14:textId="77777777" w:rsidR="009E294F" w:rsidRPr="009D734A" w:rsidRDefault="009E294F" w:rsidP="009E294F">
      <w:pPr>
        <w:tabs>
          <w:tab w:val="left" w:pos="1440"/>
        </w:tabs>
        <w:spacing w:line="240" w:lineRule="exact"/>
        <w:jc w:val="both"/>
      </w:pPr>
      <w:r w:rsidRPr="009D734A">
        <w:t>1987</w:t>
      </w:r>
      <w:r w:rsidRPr="009D734A">
        <w:tab/>
      </w:r>
      <w:r>
        <w:tab/>
      </w:r>
      <w:r w:rsidRPr="009D734A">
        <w:t>Phi Beta Kappa, Alpha Epsilon Delta, Notre Dame Scholar</w:t>
      </w:r>
    </w:p>
    <w:p w14:paraId="0D2D13F4" w14:textId="77777777" w:rsidR="009E294F" w:rsidRPr="009D734A" w:rsidRDefault="009E294F" w:rsidP="009E294F">
      <w:pPr>
        <w:tabs>
          <w:tab w:val="left" w:pos="1440"/>
        </w:tabs>
        <w:spacing w:line="240" w:lineRule="exact"/>
        <w:jc w:val="both"/>
      </w:pPr>
      <w:r w:rsidRPr="009D734A">
        <w:t>1988</w:t>
      </w:r>
      <w:r w:rsidRPr="009D734A">
        <w:tab/>
      </w:r>
      <w:r>
        <w:tab/>
      </w:r>
      <w:r w:rsidRPr="009D734A">
        <w:t>March of Dimes Summer Research Scholarship</w:t>
      </w:r>
    </w:p>
    <w:p w14:paraId="15632905" w14:textId="77777777" w:rsidR="009E294F" w:rsidRPr="009D734A" w:rsidRDefault="009E294F" w:rsidP="009E294F">
      <w:pPr>
        <w:tabs>
          <w:tab w:val="left" w:pos="1440"/>
        </w:tabs>
        <w:spacing w:line="240" w:lineRule="exact"/>
        <w:jc w:val="both"/>
      </w:pPr>
      <w:r w:rsidRPr="009D734A">
        <w:t>1995</w:t>
      </w:r>
      <w:r w:rsidRPr="009D734A">
        <w:tab/>
      </w:r>
      <w:r>
        <w:tab/>
      </w:r>
      <w:r w:rsidRPr="009D734A">
        <w:t>Alpha Omega Alpha Medical Honor Society</w:t>
      </w:r>
    </w:p>
    <w:p w14:paraId="01E54156" w14:textId="6F557885" w:rsidR="00800213" w:rsidRPr="00EA2A0B" w:rsidRDefault="00800213" w:rsidP="00644002">
      <w:pPr>
        <w:pStyle w:val="Heading1"/>
        <w:spacing w:before="120"/>
      </w:pPr>
      <w:r w:rsidRPr="00950FEB">
        <w:t>C.</w:t>
      </w:r>
      <w:r w:rsidRPr="00950FEB">
        <w:tab/>
        <w:t>Contribution</w:t>
      </w:r>
      <w:r w:rsidR="00AF6464">
        <w:t>s</w:t>
      </w:r>
      <w:r w:rsidRPr="00950FEB">
        <w:t xml:space="preserve"> to Science</w:t>
      </w:r>
    </w:p>
    <w:p w14:paraId="0543A6BA" w14:textId="1CC75BA3" w:rsidR="004F644D" w:rsidRDefault="004F644D" w:rsidP="004F644D">
      <w:pPr>
        <w:pStyle w:val="BodyText"/>
        <w:spacing w:after="0"/>
        <w:jc w:val="both"/>
        <w:rPr>
          <w:rFonts w:ascii="Arial" w:hAnsi="Arial" w:cs="Arial"/>
          <w:b/>
          <w:sz w:val="22"/>
          <w:szCs w:val="22"/>
        </w:rPr>
      </w:pPr>
      <w:r>
        <w:rPr>
          <w:rFonts w:ascii="Arial" w:hAnsi="Arial" w:cs="Arial"/>
          <w:b/>
          <w:sz w:val="22"/>
          <w:szCs w:val="22"/>
        </w:rPr>
        <w:t xml:space="preserve">1) </w:t>
      </w:r>
      <w:r w:rsidR="00EE27AA" w:rsidRPr="00641FD8">
        <w:rPr>
          <w:rFonts w:ascii="Arial" w:hAnsi="Arial" w:cs="Arial"/>
          <w:b/>
          <w:sz w:val="22"/>
          <w:szCs w:val="22"/>
        </w:rPr>
        <w:t>Dr. Miklos is an experien</w:t>
      </w:r>
      <w:r w:rsidR="00641FD8" w:rsidRPr="00641FD8">
        <w:rPr>
          <w:rFonts w:ascii="Arial" w:hAnsi="Arial" w:cs="Arial"/>
          <w:b/>
          <w:sz w:val="22"/>
          <w:szCs w:val="22"/>
        </w:rPr>
        <w:t xml:space="preserve">ced </w:t>
      </w:r>
      <w:r w:rsidR="00EE27AA" w:rsidRPr="00641FD8">
        <w:rPr>
          <w:rFonts w:ascii="Arial" w:hAnsi="Arial" w:cs="Arial"/>
          <w:b/>
          <w:sz w:val="22"/>
          <w:szCs w:val="22"/>
        </w:rPr>
        <w:t xml:space="preserve">CAR-T clinician and Clinical Director of Stanford’s </w:t>
      </w:r>
      <w:r w:rsidR="000C037C" w:rsidRPr="00641FD8">
        <w:rPr>
          <w:rFonts w:ascii="Arial" w:hAnsi="Arial" w:cs="Arial"/>
          <w:b/>
          <w:sz w:val="22"/>
          <w:szCs w:val="22"/>
        </w:rPr>
        <w:t>Cancer Cell Therapy</w:t>
      </w:r>
      <w:r>
        <w:rPr>
          <w:rFonts w:ascii="Arial" w:hAnsi="Arial" w:cs="Arial"/>
          <w:b/>
          <w:sz w:val="22"/>
          <w:szCs w:val="22"/>
        </w:rPr>
        <w:t xml:space="preserve"> </w:t>
      </w:r>
    </w:p>
    <w:p w14:paraId="3A09925C" w14:textId="7F72C11D" w:rsidR="004F644D" w:rsidRPr="00961B6B" w:rsidRDefault="004F644D" w:rsidP="004F644D">
      <w:pPr>
        <w:pStyle w:val="BodyText"/>
        <w:spacing w:after="0"/>
        <w:jc w:val="both"/>
        <w:rPr>
          <w:rFonts w:ascii="Arial" w:hAnsi="Arial" w:cs="Arial"/>
          <w:sz w:val="22"/>
          <w:szCs w:val="22"/>
        </w:rPr>
      </w:pPr>
      <w:r w:rsidRPr="003C5C21">
        <w:rPr>
          <w:rFonts w:ascii="Arial" w:hAnsi="Arial" w:cs="Arial"/>
          <w:sz w:val="22"/>
          <w:szCs w:val="22"/>
        </w:rPr>
        <w:t xml:space="preserve">Dr. Miklos served as prior </w:t>
      </w:r>
      <w:r>
        <w:rPr>
          <w:rFonts w:ascii="Arial" w:hAnsi="Arial" w:cs="Arial"/>
          <w:sz w:val="22"/>
          <w:szCs w:val="22"/>
        </w:rPr>
        <w:t>M</w:t>
      </w:r>
      <w:r w:rsidRPr="003C5C21">
        <w:rPr>
          <w:rFonts w:ascii="Arial" w:hAnsi="Arial" w:cs="Arial"/>
          <w:sz w:val="22"/>
          <w:szCs w:val="22"/>
        </w:rPr>
        <w:t xml:space="preserve">edical director of Stanford’s </w:t>
      </w:r>
      <w:r>
        <w:rPr>
          <w:rFonts w:ascii="Arial" w:hAnsi="Arial" w:cs="Arial"/>
          <w:sz w:val="22"/>
          <w:szCs w:val="22"/>
        </w:rPr>
        <w:t>Cancer Cell Therapy Correlative</w:t>
      </w:r>
      <w:r w:rsidRPr="003C5C21">
        <w:rPr>
          <w:rFonts w:ascii="Arial" w:hAnsi="Arial" w:cs="Arial"/>
          <w:sz w:val="22"/>
          <w:szCs w:val="22"/>
        </w:rPr>
        <w:t xml:space="preserve"> </w:t>
      </w:r>
      <w:r>
        <w:rPr>
          <w:rFonts w:ascii="Arial" w:hAnsi="Arial" w:cs="Arial"/>
          <w:sz w:val="22"/>
          <w:szCs w:val="22"/>
        </w:rPr>
        <w:t>Science Unit (CCSU)</w:t>
      </w:r>
      <w:r w:rsidRPr="003C5C21">
        <w:rPr>
          <w:rFonts w:ascii="Arial" w:hAnsi="Arial" w:cs="Arial"/>
          <w:sz w:val="22"/>
          <w:szCs w:val="22"/>
        </w:rPr>
        <w:t xml:space="preserve">. Dr. Miklos combined his basic science knowledge, clinical trial experience, and cell therapy management experience to institute and direct Stanford’s Cancer Cell Therapy Clinical Research Group June 2016. He is the Stanford PI for </w:t>
      </w:r>
      <w:r>
        <w:rPr>
          <w:rFonts w:ascii="Arial" w:hAnsi="Arial" w:cs="Arial"/>
          <w:sz w:val="22"/>
          <w:szCs w:val="22"/>
        </w:rPr>
        <w:t>9 CAR-T studies</w:t>
      </w:r>
      <w:r w:rsidRPr="003C5C21">
        <w:rPr>
          <w:rFonts w:ascii="Arial" w:hAnsi="Arial" w:cs="Arial"/>
          <w:sz w:val="22"/>
          <w:szCs w:val="22"/>
        </w:rPr>
        <w:t>. Dr Miklos’ clinical study teams have undergone two successful FDA inspections for in</w:t>
      </w:r>
      <w:r w:rsidRPr="00961B6B">
        <w:rPr>
          <w:rFonts w:ascii="Arial" w:hAnsi="Arial" w:cs="Arial"/>
          <w:sz w:val="22"/>
          <w:szCs w:val="22"/>
        </w:rPr>
        <w:t xml:space="preserve">dications in 2017 (KTE-c19 for </w:t>
      </w:r>
      <w:proofErr w:type="spellStart"/>
      <w:r w:rsidRPr="00961B6B">
        <w:rPr>
          <w:rFonts w:ascii="Arial" w:hAnsi="Arial" w:cs="Arial"/>
          <w:sz w:val="22"/>
          <w:szCs w:val="22"/>
        </w:rPr>
        <w:t>rel</w:t>
      </w:r>
      <w:proofErr w:type="spellEnd"/>
      <w:r w:rsidRPr="00961B6B">
        <w:rPr>
          <w:rFonts w:ascii="Arial" w:hAnsi="Arial" w:cs="Arial"/>
          <w:sz w:val="22"/>
          <w:szCs w:val="22"/>
        </w:rPr>
        <w:t xml:space="preserve">/ref DLCL Zuma1 and Ibrutinib for cGVHD). </w:t>
      </w:r>
      <w:bookmarkStart w:id="0" w:name="_Hlk521935389"/>
    </w:p>
    <w:p w14:paraId="1C40AEB0" w14:textId="77777777" w:rsidR="004F644D" w:rsidRPr="00961B6B" w:rsidRDefault="004F644D" w:rsidP="004F644D">
      <w:pPr>
        <w:pStyle w:val="ListParagraph"/>
        <w:numPr>
          <w:ilvl w:val="0"/>
          <w:numId w:val="39"/>
        </w:numPr>
        <w:tabs>
          <w:tab w:val="left" w:pos="540"/>
        </w:tabs>
        <w:autoSpaceDE/>
        <w:autoSpaceDN/>
        <w:jc w:val="both"/>
        <w:rPr>
          <w:rFonts w:cs="Arial"/>
          <w:szCs w:val="22"/>
        </w:rPr>
      </w:pPr>
      <w:r w:rsidRPr="00961B6B">
        <w:rPr>
          <w:rFonts w:cs="Arial"/>
          <w:szCs w:val="22"/>
        </w:rPr>
        <w:t>Neelapu</w:t>
      </w:r>
      <w:r w:rsidRPr="00961B6B">
        <w:rPr>
          <w:rFonts w:cs="Arial"/>
          <w:position w:val="8"/>
          <w:szCs w:val="22"/>
          <w:vertAlign w:val="superscript"/>
        </w:rPr>
        <w:t xml:space="preserve"> </w:t>
      </w:r>
      <w:r w:rsidRPr="00961B6B">
        <w:rPr>
          <w:rFonts w:cs="Arial"/>
          <w:szCs w:val="22"/>
        </w:rPr>
        <w:t>SS, Locke</w:t>
      </w:r>
      <w:r w:rsidRPr="00961B6B">
        <w:rPr>
          <w:rFonts w:cs="Arial"/>
          <w:position w:val="8"/>
          <w:szCs w:val="22"/>
          <w:vertAlign w:val="superscript"/>
        </w:rPr>
        <w:t xml:space="preserve"> </w:t>
      </w:r>
      <w:r w:rsidRPr="00961B6B">
        <w:rPr>
          <w:rFonts w:cs="Arial"/>
          <w:szCs w:val="22"/>
        </w:rPr>
        <w:t>FL Bartlett</w:t>
      </w:r>
      <w:r w:rsidRPr="00961B6B">
        <w:rPr>
          <w:rFonts w:cs="Arial"/>
          <w:position w:val="8"/>
          <w:szCs w:val="22"/>
          <w:vertAlign w:val="superscript"/>
        </w:rPr>
        <w:t xml:space="preserve"> </w:t>
      </w:r>
      <w:r w:rsidRPr="00961B6B">
        <w:rPr>
          <w:rFonts w:cs="Arial"/>
          <w:szCs w:val="22"/>
        </w:rPr>
        <w:t>NL, Lekakis</w:t>
      </w:r>
      <w:r w:rsidRPr="00961B6B">
        <w:rPr>
          <w:rFonts w:cs="Arial"/>
          <w:position w:val="8"/>
          <w:szCs w:val="22"/>
          <w:vertAlign w:val="superscript"/>
        </w:rPr>
        <w:t xml:space="preserve"> </w:t>
      </w:r>
      <w:r w:rsidRPr="00961B6B">
        <w:rPr>
          <w:rFonts w:cs="Arial"/>
          <w:szCs w:val="22"/>
        </w:rPr>
        <w:t xml:space="preserve">LJ, </w:t>
      </w:r>
      <w:r w:rsidRPr="00961B6B">
        <w:rPr>
          <w:rFonts w:cs="Arial"/>
          <w:b/>
          <w:szCs w:val="22"/>
        </w:rPr>
        <w:t>Miklos</w:t>
      </w:r>
      <w:r w:rsidRPr="00961B6B">
        <w:rPr>
          <w:rFonts w:cs="Arial"/>
          <w:b/>
          <w:position w:val="8"/>
          <w:szCs w:val="22"/>
          <w:vertAlign w:val="superscript"/>
        </w:rPr>
        <w:t xml:space="preserve"> </w:t>
      </w:r>
      <w:r w:rsidRPr="00961B6B">
        <w:rPr>
          <w:rFonts w:cs="Arial"/>
          <w:b/>
          <w:szCs w:val="22"/>
        </w:rPr>
        <w:t>DB</w:t>
      </w:r>
      <w:r w:rsidRPr="00961B6B">
        <w:rPr>
          <w:rFonts w:cs="Arial"/>
          <w:szCs w:val="22"/>
        </w:rPr>
        <w:t>, Jacobson</w:t>
      </w:r>
      <w:r w:rsidRPr="00961B6B">
        <w:rPr>
          <w:rFonts w:cs="Arial"/>
          <w:position w:val="8"/>
          <w:szCs w:val="22"/>
          <w:vertAlign w:val="superscript"/>
        </w:rPr>
        <w:t xml:space="preserve"> </w:t>
      </w:r>
      <w:r w:rsidRPr="00961B6B">
        <w:rPr>
          <w:rFonts w:cs="Arial"/>
          <w:szCs w:val="22"/>
        </w:rPr>
        <w:t>CA, Braunschweig I, Oluwole</w:t>
      </w:r>
      <w:r w:rsidRPr="00961B6B">
        <w:rPr>
          <w:rFonts w:cs="Arial"/>
          <w:position w:val="8"/>
          <w:szCs w:val="22"/>
          <w:vertAlign w:val="superscript"/>
        </w:rPr>
        <w:t xml:space="preserve"> </w:t>
      </w:r>
      <w:r w:rsidRPr="00961B6B">
        <w:rPr>
          <w:rFonts w:cs="Arial"/>
          <w:szCs w:val="22"/>
        </w:rPr>
        <w:t>O, Siddiqi</w:t>
      </w:r>
      <w:r w:rsidRPr="00961B6B">
        <w:rPr>
          <w:rFonts w:cs="Arial"/>
          <w:position w:val="8"/>
          <w:szCs w:val="22"/>
          <w:vertAlign w:val="superscript"/>
        </w:rPr>
        <w:t xml:space="preserve"> </w:t>
      </w:r>
      <w:r w:rsidRPr="00961B6B">
        <w:rPr>
          <w:rFonts w:cs="Arial"/>
          <w:szCs w:val="22"/>
        </w:rPr>
        <w:t>T, Lin Y, Timmerman</w:t>
      </w:r>
      <w:r w:rsidRPr="00961B6B">
        <w:rPr>
          <w:rFonts w:cs="Arial"/>
          <w:position w:val="8"/>
          <w:szCs w:val="22"/>
          <w:vertAlign w:val="superscript"/>
        </w:rPr>
        <w:t xml:space="preserve"> </w:t>
      </w:r>
      <w:r w:rsidRPr="00961B6B">
        <w:rPr>
          <w:rFonts w:cs="Arial"/>
          <w:szCs w:val="22"/>
        </w:rPr>
        <w:t>J, Stiff PJ, Friedberg JW, Flinn I, Goy</w:t>
      </w:r>
      <w:r w:rsidRPr="00961B6B">
        <w:rPr>
          <w:rFonts w:cs="Arial"/>
          <w:position w:val="8"/>
          <w:szCs w:val="22"/>
          <w:vertAlign w:val="superscript"/>
        </w:rPr>
        <w:t xml:space="preserve"> </w:t>
      </w:r>
      <w:r w:rsidRPr="00961B6B">
        <w:rPr>
          <w:rFonts w:cs="Arial"/>
          <w:szCs w:val="22"/>
        </w:rPr>
        <w:t>, Hill</w:t>
      </w:r>
      <w:r w:rsidRPr="00961B6B">
        <w:rPr>
          <w:rFonts w:cs="Arial"/>
          <w:position w:val="8"/>
          <w:szCs w:val="22"/>
          <w:vertAlign w:val="superscript"/>
        </w:rPr>
        <w:t xml:space="preserve"> </w:t>
      </w:r>
      <w:r w:rsidRPr="00961B6B">
        <w:rPr>
          <w:rFonts w:cs="Arial"/>
          <w:szCs w:val="22"/>
        </w:rPr>
        <w:t xml:space="preserve">BT, Smith MR, Deol A, Farooq U, McSweeney P, Munoz J, </w:t>
      </w:r>
      <w:proofErr w:type="spellStart"/>
      <w:r w:rsidRPr="00961B6B">
        <w:rPr>
          <w:rFonts w:cs="Arial"/>
          <w:szCs w:val="22"/>
        </w:rPr>
        <w:t>Avivi</w:t>
      </w:r>
      <w:proofErr w:type="spellEnd"/>
      <w:r w:rsidRPr="00961B6B">
        <w:rPr>
          <w:rFonts w:cs="Arial"/>
          <w:szCs w:val="22"/>
        </w:rPr>
        <w:t xml:space="preserve"> I, Castro JE, Westin JR, Chavez JC, Ghobadi A, Komanduri</w:t>
      </w:r>
      <w:r w:rsidRPr="00961B6B">
        <w:rPr>
          <w:rFonts w:cs="Arial"/>
          <w:position w:val="8"/>
          <w:szCs w:val="22"/>
          <w:vertAlign w:val="superscript"/>
        </w:rPr>
        <w:t xml:space="preserve">, </w:t>
      </w:r>
      <w:r w:rsidRPr="00961B6B">
        <w:rPr>
          <w:rFonts w:cs="Arial"/>
          <w:szCs w:val="22"/>
        </w:rPr>
        <w:t>K, Levy R, Jacobsen</w:t>
      </w:r>
      <w:r w:rsidRPr="00961B6B">
        <w:rPr>
          <w:rFonts w:cs="Arial"/>
          <w:position w:val="8"/>
          <w:szCs w:val="22"/>
          <w:vertAlign w:val="superscript"/>
        </w:rPr>
        <w:t xml:space="preserve"> </w:t>
      </w:r>
      <w:r w:rsidRPr="00961B6B">
        <w:rPr>
          <w:rFonts w:cs="Arial"/>
          <w:szCs w:val="22"/>
        </w:rPr>
        <w:t xml:space="preserve">ED, </w:t>
      </w:r>
      <w:proofErr w:type="spellStart"/>
      <w:r w:rsidRPr="00961B6B">
        <w:rPr>
          <w:rFonts w:cs="Arial"/>
          <w:szCs w:val="22"/>
        </w:rPr>
        <w:t>Witzig</w:t>
      </w:r>
      <w:proofErr w:type="spellEnd"/>
      <w:r w:rsidRPr="00961B6B">
        <w:rPr>
          <w:rFonts w:cs="Arial"/>
          <w:szCs w:val="22"/>
        </w:rPr>
        <w:t xml:space="preserve"> TE, Reagan </w:t>
      </w:r>
      <w:proofErr w:type="spellStart"/>
      <w:r w:rsidRPr="00961B6B">
        <w:rPr>
          <w:rFonts w:cs="Arial"/>
          <w:szCs w:val="22"/>
        </w:rPr>
        <w:t>P,Bot</w:t>
      </w:r>
      <w:proofErr w:type="spellEnd"/>
      <w:r w:rsidRPr="00961B6B">
        <w:rPr>
          <w:rFonts w:cs="Arial"/>
          <w:szCs w:val="22"/>
        </w:rPr>
        <w:t xml:space="preserve"> A, Rossi J, </w:t>
      </w:r>
      <w:proofErr w:type="spellStart"/>
      <w:r w:rsidRPr="00961B6B">
        <w:rPr>
          <w:rFonts w:cs="Arial"/>
          <w:szCs w:val="22"/>
        </w:rPr>
        <w:t>Navale</w:t>
      </w:r>
      <w:proofErr w:type="spellEnd"/>
      <w:r w:rsidRPr="00961B6B">
        <w:rPr>
          <w:rFonts w:cs="Arial"/>
          <w:szCs w:val="22"/>
        </w:rPr>
        <w:t xml:space="preserve"> L, </w:t>
      </w:r>
      <w:proofErr w:type="spellStart"/>
      <w:r w:rsidRPr="00961B6B">
        <w:rPr>
          <w:rFonts w:cs="Arial"/>
          <w:szCs w:val="22"/>
        </w:rPr>
        <w:t>ianh</w:t>
      </w:r>
      <w:proofErr w:type="spellEnd"/>
      <w:r w:rsidRPr="00961B6B">
        <w:rPr>
          <w:rFonts w:cs="Arial"/>
          <w:szCs w:val="22"/>
        </w:rPr>
        <w:t xml:space="preserve"> Y, Jeff Aycock J, Elias M, Chang D, Wiezorek J, Go  WY. </w:t>
      </w:r>
      <w:r w:rsidRPr="00961B6B">
        <w:rPr>
          <w:rFonts w:cs="Arial"/>
          <w:bCs/>
          <w:szCs w:val="22"/>
        </w:rPr>
        <w:t xml:space="preserve">Axicabtagene Ciloleucel (CD19 CAR T) in Refractory Large B-Cell Lymphoma. </w:t>
      </w:r>
      <w:r w:rsidRPr="00961B6B">
        <w:rPr>
          <w:rFonts w:cs="Arial"/>
          <w:color w:val="000000"/>
          <w:szCs w:val="22"/>
        </w:rPr>
        <w:t xml:space="preserve">N </w:t>
      </w:r>
      <w:proofErr w:type="spellStart"/>
      <w:r w:rsidRPr="00961B6B">
        <w:rPr>
          <w:rFonts w:cs="Arial"/>
          <w:color w:val="000000"/>
          <w:szCs w:val="22"/>
        </w:rPr>
        <w:t>Engl</w:t>
      </w:r>
      <w:proofErr w:type="spellEnd"/>
      <w:r w:rsidRPr="00961B6B">
        <w:rPr>
          <w:rFonts w:cs="Arial"/>
          <w:color w:val="000000"/>
          <w:szCs w:val="22"/>
        </w:rPr>
        <w:t xml:space="preserve"> J Med. 2017 Dec 28;377(26):2531-2544. </w:t>
      </w:r>
      <w:proofErr w:type="spellStart"/>
      <w:r w:rsidRPr="00961B6B">
        <w:rPr>
          <w:rFonts w:cs="Arial"/>
          <w:color w:val="000000"/>
          <w:szCs w:val="22"/>
        </w:rPr>
        <w:t>doi</w:t>
      </w:r>
      <w:proofErr w:type="spellEnd"/>
      <w:r w:rsidRPr="00961B6B">
        <w:rPr>
          <w:rFonts w:cs="Arial"/>
          <w:color w:val="000000"/>
          <w:szCs w:val="22"/>
        </w:rPr>
        <w:t xml:space="preserve">: 10.1056/NEJMoa1707447. </w:t>
      </w:r>
      <w:proofErr w:type="spellStart"/>
      <w:r w:rsidRPr="00961B6B">
        <w:rPr>
          <w:rFonts w:cs="Arial"/>
          <w:color w:val="000000"/>
          <w:szCs w:val="22"/>
        </w:rPr>
        <w:t>Epub</w:t>
      </w:r>
      <w:proofErr w:type="spellEnd"/>
      <w:r w:rsidRPr="00961B6B">
        <w:rPr>
          <w:rFonts w:cs="Arial"/>
          <w:color w:val="000000"/>
          <w:szCs w:val="22"/>
        </w:rPr>
        <w:t xml:space="preserve"> 2017 Dec 10. PMID: 29226797.</w:t>
      </w:r>
    </w:p>
    <w:p w14:paraId="787A528D" w14:textId="77777777" w:rsidR="004F644D" w:rsidRPr="00961B6B" w:rsidRDefault="004F644D" w:rsidP="004F644D">
      <w:pPr>
        <w:pStyle w:val="ListParagraph"/>
        <w:numPr>
          <w:ilvl w:val="0"/>
          <w:numId w:val="39"/>
        </w:numPr>
        <w:tabs>
          <w:tab w:val="left" w:pos="540"/>
        </w:tabs>
        <w:autoSpaceDE/>
        <w:autoSpaceDN/>
        <w:jc w:val="both"/>
        <w:rPr>
          <w:rFonts w:cs="Arial"/>
          <w:szCs w:val="22"/>
        </w:rPr>
      </w:pPr>
      <w:r w:rsidRPr="00961B6B">
        <w:rPr>
          <w:rFonts w:cs="Arial"/>
          <w:color w:val="000000"/>
          <w:szCs w:val="22"/>
        </w:rPr>
        <w:t>Hossain</w:t>
      </w:r>
      <w:r w:rsidRPr="00961B6B">
        <w:rPr>
          <w:rFonts w:cs="Arial"/>
          <w:color w:val="000000"/>
          <w:szCs w:val="22"/>
          <w:vertAlign w:val="superscript"/>
        </w:rPr>
        <w:t xml:space="preserve"> </w:t>
      </w:r>
      <w:r w:rsidRPr="00961B6B">
        <w:rPr>
          <w:rFonts w:cs="Arial"/>
          <w:color w:val="000000"/>
          <w:szCs w:val="22"/>
        </w:rPr>
        <w:t>NM, Dahiya</w:t>
      </w:r>
      <w:r w:rsidRPr="00961B6B">
        <w:rPr>
          <w:rFonts w:cs="Arial"/>
          <w:color w:val="000000"/>
          <w:szCs w:val="22"/>
          <w:vertAlign w:val="superscript"/>
        </w:rPr>
        <w:t xml:space="preserve"> </w:t>
      </w:r>
      <w:r w:rsidRPr="00961B6B">
        <w:rPr>
          <w:rFonts w:cs="Arial"/>
          <w:color w:val="000000"/>
          <w:szCs w:val="22"/>
        </w:rPr>
        <w:t>S, Le</w:t>
      </w:r>
      <w:r w:rsidRPr="00961B6B">
        <w:rPr>
          <w:rFonts w:cs="Arial"/>
          <w:color w:val="000000"/>
          <w:szCs w:val="22"/>
          <w:vertAlign w:val="superscript"/>
        </w:rPr>
        <w:t xml:space="preserve"> </w:t>
      </w:r>
      <w:r w:rsidRPr="00961B6B">
        <w:rPr>
          <w:rFonts w:cs="Arial"/>
          <w:color w:val="000000"/>
          <w:szCs w:val="22"/>
        </w:rPr>
        <w:t>R, Abramian</w:t>
      </w:r>
      <w:r w:rsidRPr="00961B6B">
        <w:rPr>
          <w:rFonts w:cs="Arial"/>
          <w:color w:val="000000"/>
          <w:szCs w:val="22"/>
          <w:vertAlign w:val="superscript"/>
        </w:rPr>
        <w:t xml:space="preserve"> </w:t>
      </w:r>
      <w:r w:rsidRPr="00961B6B">
        <w:rPr>
          <w:rFonts w:cs="Arial"/>
          <w:color w:val="000000"/>
          <w:szCs w:val="22"/>
        </w:rPr>
        <w:t xml:space="preserve">AM, Kong KA, Muffly, LS, and </w:t>
      </w:r>
      <w:r w:rsidRPr="00961B6B">
        <w:rPr>
          <w:rFonts w:cs="Arial"/>
          <w:b/>
          <w:color w:val="000000"/>
          <w:szCs w:val="22"/>
        </w:rPr>
        <w:t>Miklos DB</w:t>
      </w:r>
      <w:r w:rsidRPr="00961B6B">
        <w:rPr>
          <w:rFonts w:cs="Arial"/>
          <w:color w:val="000000"/>
          <w:szCs w:val="22"/>
        </w:rPr>
        <w:t xml:space="preserve">.  Circulating tumor DNA assessment in patients with Diffuse Large B-Cell Lymphoma following CAR T-cell therapy. </w:t>
      </w:r>
      <w:proofErr w:type="spellStart"/>
      <w:r w:rsidRPr="00961B6B">
        <w:rPr>
          <w:rFonts w:cs="Arial"/>
          <w:color w:val="000000"/>
          <w:szCs w:val="22"/>
        </w:rPr>
        <w:t>Leuk</w:t>
      </w:r>
      <w:proofErr w:type="spellEnd"/>
      <w:r w:rsidRPr="00961B6B">
        <w:rPr>
          <w:rFonts w:cs="Arial"/>
          <w:color w:val="000000"/>
          <w:szCs w:val="22"/>
        </w:rPr>
        <w:t xml:space="preserve"> Lymphoma. 2018 Jul 3:1-4. </w:t>
      </w:r>
      <w:proofErr w:type="spellStart"/>
      <w:r w:rsidRPr="00961B6B">
        <w:rPr>
          <w:rFonts w:cs="Arial"/>
          <w:color w:val="000000"/>
          <w:szCs w:val="22"/>
        </w:rPr>
        <w:t>doi</w:t>
      </w:r>
      <w:proofErr w:type="spellEnd"/>
      <w:r w:rsidRPr="00961B6B">
        <w:rPr>
          <w:rFonts w:cs="Arial"/>
          <w:color w:val="000000"/>
          <w:szCs w:val="22"/>
        </w:rPr>
        <w:t>: 10.1080/10428194.2018.1474463. PMID:29966461</w:t>
      </w:r>
      <w:bookmarkEnd w:id="0"/>
    </w:p>
    <w:p w14:paraId="6CE141F5" w14:textId="5401D4D1" w:rsidR="00961B6B" w:rsidRPr="00961B6B" w:rsidRDefault="00961B6B" w:rsidP="003C5C21">
      <w:pPr>
        <w:numPr>
          <w:ilvl w:val="0"/>
          <w:numId w:val="39"/>
        </w:numPr>
        <w:tabs>
          <w:tab w:val="left" w:pos="540"/>
        </w:tabs>
        <w:autoSpaceDE/>
        <w:autoSpaceDN/>
        <w:jc w:val="both"/>
        <w:rPr>
          <w:rFonts w:cs="Arial"/>
          <w:color w:val="000000"/>
          <w:szCs w:val="22"/>
        </w:rPr>
      </w:pPr>
      <w:bookmarkStart w:id="1" w:name="_Hlk36020933"/>
      <w:proofErr w:type="spellStart"/>
      <w:r w:rsidRPr="00961B6B">
        <w:rPr>
          <w:rFonts w:cs="Arial"/>
          <w:szCs w:val="22"/>
        </w:rPr>
        <w:t>Nastoupil</w:t>
      </w:r>
      <w:proofErr w:type="spellEnd"/>
      <w:r w:rsidRPr="00961B6B">
        <w:rPr>
          <w:rFonts w:cs="Arial"/>
          <w:szCs w:val="22"/>
        </w:rPr>
        <w:t xml:space="preserve"> LJ*, Jain MD*, Feng</w:t>
      </w:r>
      <w:r w:rsidRPr="00961B6B">
        <w:rPr>
          <w:rFonts w:cs="Arial"/>
          <w:szCs w:val="22"/>
          <w:vertAlign w:val="superscript"/>
        </w:rPr>
        <w:t xml:space="preserve"> </w:t>
      </w:r>
      <w:r w:rsidRPr="00961B6B">
        <w:rPr>
          <w:rFonts w:cs="Arial"/>
          <w:szCs w:val="22"/>
        </w:rPr>
        <w:t>L, Spiegel, JY, Ghobadi</w:t>
      </w:r>
      <w:r w:rsidRPr="00961B6B">
        <w:rPr>
          <w:rFonts w:cs="Arial"/>
          <w:szCs w:val="22"/>
          <w:vertAlign w:val="superscript"/>
        </w:rPr>
        <w:t xml:space="preserve"> </w:t>
      </w:r>
      <w:r w:rsidRPr="00961B6B">
        <w:rPr>
          <w:rFonts w:cs="Arial"/>
          <w:szCs w:val="22"/>
        </w:rPr>
        <w:t>A, Lin</w:t>
      </w:r>
      <w:r w:rsidRPr="00961B6B">
        <w:rPr>
          <w:rFonts w:cs="Arial"/>
          <w:szCs w:val="22"/>
          <w:vertAlign w:val="superscript"/>
        </w:rPr>
        <w:t xml:space="preserve"> </w:t>
      </w:r>
      <w:r w:rsidRPr="00961B6B">
        <w:rPr>
          <w:rFonts w:cs="Arial"/>
          <w:szCs w:val="22"/>
        </w:rPr>
        <w:t>Y, Dahiya</w:t>
      </w:r>
      <w:r w:rsidRPr="00961B6B">
        <w:rPr>
          <w:rFonts w:cs="Arial"/>
          <w:szCs w:val="22"/>
          <w:vertAlign w:val="superscript"/>
        </w:rPr>
        <w:t xml:space="preserve"> </w:t>
      </w:r>
      <w:r w:rsidRPr="00961B6B">
        <w:rPr>
          <w:rFonts w:cs="Arial"/>
          <w:szCs w:val="22"/>
        </w:rPr>
        <w:t>S, Lunning M, Lekakis L, Reagan</w:t>
      </w:r>
      <w:r w:rsidRPr="00961B6B">
        <w:rPr>
          <w:rFonts w:cs="Arial"/>
          <w:szCs w:val="22"/>
          <w:vertAlign w:val="superscript"/>
        </w:rPr>
        <w:t xml:space="preserve"> </w:t>
      </w:r>
      <w:r w:rsidRPr="00961B6B">
        <w:rPr>
          <w:rFonts w:cs="Arial"/>
          <w:szCs w:val="22"/>
        </w:rPr>
        <w:t>P, Oluwole O,  McGuirk J, Deol A, Sehgal AR, Goy A, Hill BT, Vu K, Andreadis C, Munoz J, Westin J, Chavez</w:t>
      </w:r>
      <w:r w:rsidRPr="00961B6B">
        <w:rPr>
          <w:rFonts w:cs="Arial"/>
          <w:szCs w:val="22"/>
          <w:vertAlign w:val="superscript"/>
        </w:rPr>
        <w:t xml:space="preserve"> </w:t>
      </w:r>
      <w:r w:rsidRPr="00961B6B">
        <w:rPr>
          <w:rFonts w:cs="Arial"/>
          <w:szCs w:val="22"/>
        </w:rPr>
        <w:t xml:space="preserve">J, Cashen A, Bennani NN, Rapoport AP, Vose JM, </w:t>
      </w:r>
      <w:r w:rsidRPr="00961B6B">
        <w:rPr>
          <w:rFonts w:cs="Arial"/>
          <w:b/>
          <w:bCs/>
          <w:szCs w:val="22"/>
        </w:rPr>
        <w:t>Miklos DB**,</w:t>
      </w:r>
      <w:r w:rsidRPr="00961B6B">
        <w:rPr>
          <w:rFonts w:cs="Arial"/>
          <w:szCs w:val="22"/>
        </w:rPr>
        <w:t xml:space="preserve"> Neelapu SS**,  Locke FL**; Standard of Care Axicabtagene Ciloleucel for Relapsed or Refractory Large B-cell Lymphoma: Results from the US Lymphoma CAR T Consortium.  Journal of Clinical Oncology; Accepted for Publication 3/10/2020   ** Co Senior Author</w:t>
      </w:r>
      <w:bookmarkEnd w:id="1"/>
    </w:p>
    <w:p w14:paraId="0F62C4B3" w14:textId="489D6AD0" w:rsidR="00950FEB" w:rsidRPr="003C5C21" w:rsidRDefault="00EA2A0B" w:rsidP="00466E93">
      <w:pPr>
        <w:pStyle w:val="BodyText"/>
        <w:numPr>
          <w:ilvl w:val="0"/>
          <w:numId w:val="40"/>
        </w:numPr>
        <w:spacing w:after="0"/>
        <w:ind w:left="360"/>
        <w:jc w:val="both"/>
        <w:rPr>
          <w:rFonts w:ascii="Arial" w:hAnsi="Arial" w:cs="Arial"/>
          <w:b/>
          <w:sz w:val="22"/>
          <w:szCs w:val="22"/>
        </w:rPr>
      </w:pPr>
      <w:r w:rsidRPr="003C5C21">
        <w:rPr>
          <w:rFonts w:ascii="Arial" w:hAnsi="Arial" w:cs="Arial"/>
          <w:b/>
          <w:sz w:val="22"/>
          <w:szCs w:val="22"/>
        </w:rPr>
        <w:t>D</w:t>
      </w:r>
      <w:r w:rsidR="00AF6464" w:rsidRPr="003C5C21">
        <w:rPr>
          <w:rFonts w:ascii="Arial" w:hAnsi="Arial" w:cs="Arial"/>
          <w:b/>
          <w:sz w:val="22"/>
          <w:szCs w:val="22"/>
        </w:rPr>
        <w:t>r. Miklos’ group d</w:t>
      </w:r>
      <w:r w:rsidRPr="003C5C21">
        <w:rPr>
          <w:rFonts w:ascii="Arial" w:hAnsi="Arial" w:cs="Arial"/>
          <w:b/>
          <w:sz w:val="22"/>
          <w:szCs w:val="22"/>
        </w:rPr>
        <w:t>iscovered that a</w:t>
      </w:r>
      <w:r w:rsidR="00950FEB" w:rsidRPr="003C5C21">
        <w:rPr>
          <w:rFonts w:ascii="Arial" w:hAnsi="Arial" w:cs="Arial"/>
          <w:b/>
          <w:sz w:val="22"/>
          <w:szCs w:val="22"/>
        </w:rPr>
        <w:t>llogeneic antibodies target minor histocompatibility antigens (</w:t>
      </w:r>
      <w:proofErr w:type="spellStart"/>
      <w:r w:rsidR="00950FEB" w:rsidRPr="003C5C21">
        <w:rPr>
          <w:rFonts w:ascii="Arial" w:hAnsi="Arial" w:cs="Arial"/>
          <w:b/>
          <w:sz w:val="22"/>
          <w:szCs w:val="22"/>
        </w:rPr>
        <w:t>mHA</w:t>
      </w:r>
      <w:proofErr w:type="spellEnd"/>
      <w:r w:rsidR="00950FEB" w:rsidRPr="003C5C21">
        <w:rPr>
          <w:rFonts w:ascii="Arial" w:hAnsi="Arial" w:cs="Arial"/>
          <w:b/>
          <w:sz w:val="22"/>
          <w:szCs w:val="22"/>
        </w:rPr>
        <w:t>)</w:t>
      </w:r>
      <w:r w:rsidRPr="003C5C21">
        <w:rPr>
          <w:rFonts w:ascii="Arial" w:hAnsi="Arial" w:cs="Arial"/>
          <w:b/>
          <w:sz w:val="22"/>
          <w:szCs w:val="22"/>
        </w:rPr>
        <w:t xml:space="preserve"> develop after allogeneic HCT in association</w:t>
      </w:r>
      <w:r w:rsidR="00950FEB" w:rsidRPr="003C5C21">
        <w:rPr>
          <w:rFonts w:ascii="Arial" w:hAnsi="Arial" w:cs="Arial"/>
          <w:b/>
          <w:sz w:val="22"/>
          <w:szCs w:val="22"/>
        </w:rPr>
        <w:t xml:space="preserve"> with </w:t>
      </w:r>
      <w:proofErr w:type="spellStart"/>
      <w:r w:rsidR="00950FEB" w:rsidRPr="003C5C21">
        <w:rPr>
          <w:rFonts w:ascii="Arial" w:hAnsi="Arial" w:cs="Arial"/>
          <w:b/>
          <w:sz w:val="22"/>
          <w:szCs w:val="22"/>
        </w:rPr>
        <w:t>cGVHD</w:t>
      </w:r>
      <w:proofErr w:type="spellEnd"/>
      <w:r w:rsidRPr="003C5C21">
        <w:rPr>
          <w:rFonts w:ascii="Arial" w:hAnsi="Arial" w:cs="Arial"/>
          <w:b/>
          <w:sz w:val="22"/>
          <w:szCs w:val="22"/>
        </w:rPr>
        <w:t>.</w:t>
      </w:r>
    </w:p>
    <w:p w14:paraId="79A42402" w14:textId="77777777" w:rsidR="003C5C21" w:rsidRPr="003C5C21" w:rsidRDefault="003C5C21" w:rsidP="003C5C21">
      <w:pPr>
        <w:pStyle w:val="BodyText"/>
        <w:spacing w:after="0"/>
        <w:jc w:val="both"/>
        <w:rPr>
          <w:rFonts w:ascii="Arial" w:hAnsi="Arial" w:cs="Arial"/>
          <w:sz w:val="12"/>
          <w:szCs w:val="12"/>
        </w:rPr>
      </w:pPr>
    </w:p>
    <w:p w14:paraId="7206BEF8" w14:textId="6FA191F0" w:rsidR="00950FEB" w:rsidRDefault="00AF6464" w:rsidP="003C5C21">
      <w:pPr>
        <w:pStyle w:val="BodyText"/>
        <w:spacing w:after="0"/>
        <w:jc w:val="both"/>
        <w:rPr>
          <w:rFonts w:ascii="Arial" w:hAnsi="Arial" w:cs="Arial"/>
          <w:color w:val="000000"/>
          <w:sz w:val="22"/>
          <w:szCs w:val="22"/>
        </w:rPr>
      </w:pPr>
      <w:r w:rsidRPr="003C5C21">
        <w:rPr>
          <w:rFonts w:ascii="Arial" w:hAnsi="Arial" w:cs="Arial"/>
          <w:sz w:val="22"/>
          <w:szCs w:val="22"/>
        </w:rPr>
        <w:t>As a BMT fellow working in the lab of Dr. Jerome Ritz, we discovered males with female donors develop allogeneic antibodies against H_Y antigens in association with chronic GVHD.  As an independent investigator at Stanford we developed HY microarrays to multiplex and more accurately detect HY antibodies. Testing prospective blood sample collections following alloHCT demonstrated HY-Ab develop 3 months following F</w:t>
      </w:r>
      <w:r w:rsidRPr="003C5C21">
        <w:rPr>
          <w:rFonts w:ascii="Arial" w:hAnsi="Arial" w:cs="Arial"/>
          <w:sz w:val="22"/>
          <w:szCs w:val="22"/>
        </w:rPr>
        <w:sym w:font="Wingdings" w:char="F0E0"/>
      </w:r>
      <w:r w:rsidRPr="003C5C21">
        <w:rPr>
          <w:rFonts w:ascii="Arial" w:hAnsi="Arial" w:cs="Arial"/>
          <w:sz w:val="22"/>
          <w:szCs w:val="22"/>
        </w:rPr>
        <w:t xml:space="preserve">M HCT and strongly predict cGVHD and non-relapse mortality. </w:t>
      </w:r>
      <w:r w:rsidRPr="003C5C21">
        <w:rPr>
          <w:rFonts w:ascii="Arial" w:hAnsi="Arial" w:cs="Arial"/>
          <w:color w:val="000000"/>
          <w:sz w:val="22"/>
          <w:szCs w:val="22"/>
        </w:rPr>
        <w:t>Dr. Miklos’ group developed flow cytometry method for H-Y antigen specific B cell characterization.</w:t>
      </w:r>
    </w:p>
    <w:p w14:paraId="24688D50" w14:textId="77777777" w:rsidR="003C5C21" w:rsidRPr="003C5C21" w:rsidRDefault="003C5C21" w:rsidP="003C5C21">
      <w:pPr>
        <w:pStyle w:val="BodyText"/>
        <w:spacing w:after="0"/>
        <w:jc w:val="both"/>
        <w:rPr>
          <w:rFonts w:ascii="Arial" w:hAnsi="Arial" w:cs="Arial"/>
          <w:sz w:val="12"/>
          <w:szCs w:val="12"/>
        </w:rPr>
      </w:pPr>
    </w:p>
    <w:p w14:paraId="20CAE648" w14:textId="421B374D" w:rsidR="00AF6464" w:rsidRPr="00A3122A" w:rsidRDefault="00EA2A0B" w:rsidP="00A3122A">
      <w:pPr>
        <w:pStyle w:val="ListParagraph"/>
        <w:numPr>
          <w:ilvl w:val="0"/>
          <w:numId w:val="35"/>
        </w:numPr>
        <w:ind w:left="360"/>
        <w:jc w:val="both"/>
        <w:rPr>
          <w:rFonts w:cs="Arial"/>
          <w:szCs w:val="22"/>
        </w:rPr>
      </w:pPr>
      <w:r w:rsidRPr="00A3122A">
        <w:rPr>
          <w:rFonts w:cs="Arial"/>
          <w:b/>
          <w:szCs w:val="22"/>
        </w:rPr>
        <w:t>Miklos DB</w:t>
      </w:r>
      <w:r w:rsidRPr="00A3122A">
        <w:rPr>
          <w:rFonts w:cs="Arial"/>
          <w:szCs w:val="22"/>
        </w:rPr>
        <w:t>, Kim HT, Miller KH, Guo L, Zorn E, Lee SJ, Hochberg EP, Wu CJ, Alyea EP, Cutler C, Ho V, Soiffer RJ, Antin JH, Ritz J. Antibody Responses to H-Y Minor Histocompatibility Antigens Correlate with Chronic Graft versus Host Disease and Disease Remission. Blood 2005; 105(7):2973-8.  PMCID: PMC1350982</w:t>
      </w:r>
      <w:r w:rsidR="00D00945" w:rsidRPr="00A3122A">
        <w:rPr>
          <w:rFonts w:cs="Arial"/>
          <w:szCs w:val="22"/>
        </w:rPr>
        <w:t>.</w:t>
      </w:r>
    </w:p>
    <w:p w14:paraId="0AAB6955" w14:textId="009422EB" w:rsidR="00D00945" w:rsidRPr="00A3122A" w:rsidRDefault="00D00945" w:rsidP="00A3122A">
      <w:pPr>
        <w:pStyle w:val="ListParagraph"/>
        <w:numPr>
          <w:ilvl w:val="0"/>
          <w:numId w:val="35"/>
        </w:numPr>
        <w:ind w:left="360"/>
        <w:jc w:val="both"/>
        <w:rPr>
          <w:rFonts w:cs="Arial"/>
          <w:szCs w:val="22"/>
        </w:rPr>
      </w:pPr>
      <w:r w:rsidRPr="00A3122A">
        <w:rPr>
          <w:rFonts w:cs="Arial"/>
          <w:color w:val="000000"/>
          <w:szCs w:val="22"/>
        </w:rPr>
        <w:t xml:space="preserve">Nakasone H, Tian L, Sahaf B, Kawase T, </w:t>
      </w:r>
      <w:proofErr w:type="spellStart"/>
      <w:r w:rsidRPr="00A3122A">
        <w:rPr>
          <w:rFonts w:cs="Arial"/>
          <w:color w:val="000000"/>
          <w:szCs w:val="22"/>
        </w:rPr>
        <w:t>Schoenrock</w:t>
      </w:r>
      <w:proofErr w:type="spellEnd"/>
      <w:r w:rsidRPr="00A3122A">
        <w:rPr>
          <w:rFonts w:cs="Arial"/>
          <w:color w:val="000000"/>
          <w:szCs w:val="22"/>
        </w:rPr>
        <w:t xml:space="preserve"> K, Perloff S, Ryan CE, Paul J, </w:t>
      </w:r>
      <w:proofErr w:type="spellStart"/>
      <w:r w:rsidRPr="00A3122A">
        <w:rPr>
          <w:rFonts w:cs="Arial"/>
          <w:color w:val="000000"/>
          <w:szCs w:val="22"/>
        </w:rPr>
        <w:t>Popli</w:t>
      </w:r>
      <w:proofErr w:type="spellEnd"/>
      <w:r w:rsidRPr="00A3122A">
        <w:rPr>
          <w:rFonts w:cs="Arial"/>
          <w:color w:val="000000"/>
          <w:szCs w:val="22"/>
        </w:rPr>
        <w:t xml:space="preserve"> R, Wu F, Otani JM, </w:t>
      </w:r>
      <w:proofErr w:type="spellStart"/>
      <w:r w:rsidRPr="00A3122A">
        <w:rPr>
          <w:rFonts w:cs="Arial"/>
          <w:color w:val="000000"/>
          <w:szCs w:val="22"/>
        </w:rPr>
        <w:t>Coller</w:t>
      </w:r>
      <w:proofErr w:type="spellEnd"/>
      <w:r w:rsidRPr="00A3122A">
        <w:rPr>
          <w:rFonts w:cs="Arial"/>
          <w:color w:val="000000"/>
          <w:szCs w:val="22"/>
        </w:rPr>
        <w:t xml:space="preserve"> J, Warren </w:t>
      </w:r>
      <w:proofErr w:type="gramStart"/>
      <w:r w:rsidRPr="00A3122A">
        <w:rPr>
          <w:rFonts w:cs="Arial"/>
          <w:color w:val="000000"/>
          <w:szCs w:val="22"/>
        </w:rPr>
        <w:t>EH ,</w:t>
      </w:r>
      <w:proofErr w:type="gramEnd"/>
      <w:r w:rsidRPr="00A3122A">
        <w:rPr>
          <w:rFonts w:cs="Arial"/>
          <w:color w:val="000000"/>
          <w:szCs w:val="22"/>
        </w:rPr>
        <w:t xml:space="preserve"> and </w:t>
      </w:r>
      <w:r w:rsidRPr="00A3122A">
        <w:rPr>
          <w:rFonts w:cs="Arial"/>
          <w:b/>
          <w:color w:val="000000"/>
          <w:szCs w:val="22"/>
        </w:rPr>
        <w:t>Miklos DB</w:t>
      </w:r>
      <w:r w:rsidRPr="00A3122A">
        <w:rPr>
          <w:rFonts w:cs="Arial"/>
          <w:color w:val="000000"/>
          <w:szCs w:val="22"/>
        </w:rPr>
        <w:t xml:space="preserve">.  Allogeneic H-Y antibodies detected 3 months after female to male sex-mismatched HCT predict chronic GVHD and non-relapse mortality. </w:t>
      </w:r>
      <w:r w:rsidRPr="00A3122A">
        <w:rPr>
          <w:rStyle w:val="jrnl"/>
          <w:rFonts w:cs="Arial"/>
          <w:color w:val="000000"/>
          <w:szCs w:val="22"/>
          <w:shd w:val="clear" w:color="auto" w:fill="FFFFFF"/>
        </w:rPr>
        <w:t>Blood</w:t>
      </w:r>
      <w:r w:rsidRPr="00A3122A">
        <w:rPr>
          <w:rFonts w:cs="Arial"/>
          <w:color w:val="000000"/>
          <w:szCs w:val="22"/>
          <w:shd w:val="clear" w:color="auto" w:fill="FFFFFF"/>
        </w:rPr>
        <w:t>. 2015 May 14;125(20):3193-201</w:t>
      </w:r>
      <w:r w:rsidRPr="00A3122A">
        <w:rPr>
          <w:rFonts w:cs="Arial"/>
          <w:color w:val="000000"/>
          <w:szCs w:val="22"/>
        </w:rPr>
        <w:t>.</w:t>
      </w:r>
      <w:r w:rsidRPr="00A3122A">
        <w:rPr>
          <w:rFonts w:cs="Arial"/>
          <w:szCs w:val="22"/>
        </w:rPr>
        <w:t xml:space="preserve"> PMCID: PMC4432013.</w:t>
      </w:r>
    </w:p>
    <w:p w14:paraId="64FB1440" w14:textId="45E530CC" w:rsidR="00133190" w:rsidRPr="00A3122A" w:rsidRDefault="00CC336D" w:rsidP="00A3122A">
      <w:pPr>
        <w:pStyle w:val="ListParagraph"/>
        <w:numPr>
          <w:ilvl w:val="0"/>
          <w:numId w:val="35"/>
        </w:numPr>
        <w:ind w:left="360"/>
        <w:jc w:val="both"/>
        <w:rPr>
          <w:rFonts w:cs="Arial"/>
          <w:szCs w:val="22"/>
        </w:rPr>
      </w:pPr>
      <w:r w:rsidRPr="00A3122A">
        <w:rPr>
          <w:rFonts w:cs="Arial"/>
          <w:szCs w:val="22"/>
        </w:rPr>
        <w:t xml:space="preserve">Sahaf B, Yang Y, Arai S, Herzenberg L, Herzenberg LA, </w:t>
      </w:r>
      <w:r w:rsidRPr="00A3122A">
        <w:rPr>
          <w:rFonts w:cs="Arial"/>
          <w:b/>
          <w:szCs w:val="22"/>
        </w:rPr>
        <w:t>Miklos DB</w:t>
      </w:r>
      <w:r w:rsidRPr="00A3122A">
        <w:rPr>
          <w:rFonts w:cs="Arial"/>
          <w:szCs w:val="22"/>
        </w:rPr>
        <w:t xml:space="preserve">. H-Y antigen binding B cells develop in male recipients of female hematopoietic cells and associate with chronic graft vs host disease. Proc Natl </w:t>
      </w:r>
      <w:proofErr w:type="spellStart"/>
      <w:r w:rsidRPr="00A3122A">
        <w:rPr>
          <w:rFonts w:cs="Arial"/>
          <w:szCs w:val="22"/>
        </w:rPr>
        <w:t>Acad</w:t>
      </w:r>
      <w:proofErr w:type="spellEnd"/>
      <w:r w:rsidRPr="00A3122A">
        <w:rPr>
          <w:rFonts w:cs="Arial"/>
          <w:szCs w:val="22"/>
        </w:rPr>
        <w:t xml:space="preserve"> Sci USA, 2013 Feb 19;110(8): 3005-10.  PMCID: PMC3581974.</w:t>
      </w:r>
    </w:p>
    <w:p w14:paraId="6264E048" w14:textId="77777777" w:rsidR="00BB5B75" w:rsidRPr="003C5C21" w:rsidRDefault="00BB5B75" w:rsidP="003C5C21">
      <w:pPr>
        <w:ind w:left="360"/>
        <w:jc w:val="both"/>
        <w:rPr>
          <w:rFonts w:cs="Arial"/>
          <w:sz w:val="12"/>
          <w:szCs w:val="12"/>
        </w:rPr>
      </w:pPr>
    </w:p>
    <w:p w14:paraId="4018CF73" w14:textId="7886E22E" w:rsidR="00950FEB" w:rsidRPr="003C5C21" w:rsidRDefault="00EA2A0B" w:rsidP="00466E93">
      <w:pPr>
        <w:pStyle w:val="BodyText"/>
        <w:numPr>
          <w:ilvl w:val="0"/>
          <w:numId w:val="40"/>
        </w:numPr>
        <w:tabs>
          <w:tab w:val="left" w:pos="360"/>
        </w:tabs>
        <w:spacing w:after="0"/>
        <w:ind w:left="360"/>
        <w:jc w:val="both"/>
        <w:rPr>
          <w:rFonts w:ascii="Arial" w:hAnsi="Arial" w:cs="Arial"/>
          <w:b/>
          <w:sz w:val="22"/>
          <w:szCs w:val="22"/>
        </w:rPr>
      </w:pPr>
      <w:r w:rsidRPr="003C5C21">
        <w:rPr>
          <w:rFonts w:ascii="Arial" w:hAnsi="Arial" w:cs="Arial"/>
          <w:b/>
          <w:sz w:val="22"/>
          <w:szCs w:val="22"/>
        </w:rPr>
        <w:t>D</w:t>
      </w:r>
      <w:r w:rsidR="00AF6464" w:rsidRPr="003C5C21">
        <w:rPr>
          <w:rFonts w:ascii="Arial" w:hAnsi="Arial" w:cs="Arial"/>
          <w:b/>
          <w:sz w:val="22"/>
          <w:szCs w:val="22"/>
        </w:rPr>
        <w:t>r. Miklos’ group d</w:t>
      </w:r>
      <w:r w:rsidRPr="003C5C21">
        <w:rPr>
          <w:rFonts w:ascii="Arial" w:hAnsi="Arial" w:cs="Arial"/>
          <w:b/>
          <w:sz w:val="22"/>
          <w:szCs w:val="22"/>
        </w:rPr>
        <w:t>emonstrated that depletion of allogeneic B cells p</w:t>
      </w:r>
      <w:r w:rsidR="00950FEB" w:rsidRPr="003C5C21">
        <w:rPr>
          <w:rFonts w:ascii="Arial" w:hAnsi="Arial" w:cs="Arial"/>
          <w:b/>
          <w:sz w:val="22"/>
          <w:szCs w:val="22"/>
        </w:rPr>
        <w:t>reve</w:t>
      </w:r>
      <w:r w:rsidR="00AF6464" w:rsidRPr="003C5C21">
        <w:rPr>
          <w:rFonts w:ascii="Arial" w:hAnsi="Arial" w:cs="Arial"/>
          <w:b/>
          <w:sz w:val="22"/>
          <w:szCs w:val="22"/>
        </w:rPr>
        <w:t>nts and effectively treats chronic graft versus host disease (cGVHD)</w:t>
      </w:r>
      <w:r w:rsidR="00CC6052" w:rsidRPr="003C5C21">
        <w:rPr>
          <w:rFonts w:ascii="Arial" w:hAnsi="Arial" w:cs="Arial"/>
          <w:b/>
          <w:sz w:val="22"/>
          <w:szCs w:val="22"/>
        </w:rPr>
        <w:t xml:space="preserve"> and led phase II clinical trial supporting FDA approval of Ibrutinib for chronic GVHD treatment failure.</w:t>
      </w:r>
    </w:p>
    <w:p w14:paraId="01490499" w14:textId="77777777" w:rsidR="00BB5B75" w:rsidRPr="003C5C21" w:rsidRDefault="00BB5B75" w:rsidP="003C5C21">
      <w:pPr>
        <w:pStyle w:val="BodyText"/>
        <w:tabs>
          <w:tab w:val="left" w:pos="360"/>
        </w:tabs>
        <w:spacing w:after="0"/>
        <w:ind w:left="360"/>
        <w:jc w:val="both"/>
        <w:rPr>
          <w:rFonts w:ascii="Arial" w:hAnsi="Arial" w:cs="Arial"/>
          <w:b/>
          <w:sz w:val="12"/>
          <w:szCs w:val="12"/>
        </w:rPr>
      </w:pPr>
    </w:p>
    <w:p w14:paraId="024D585E" w14:textId="5A0209E8" w:rsidR="00D00945" w:rsidRDefault="00950FEB" w:rsidP="003C5C21">
      <w:pPr>
        <w:pStyle w:val="BodyText"/>
        <w:spacing w:after="0"/>
        <w:jc w:val="both"/>
        <w:rPr>
          <w:rFonts w:ascii="Arial" w:hAnsi="Arial" w:cs="Arial"/>
          <w:color w:val="000000" w:themeColor="text1"/>
          <w:sz w:val="22"/>
          <w:szCs w:val="22"/>
          <w:shd w:val="clear" w:color="auto" w:fill="FFFFFF"/>
        </w:rPr>
      </w:pPr>
      <w:r w:rsidRPr="003C5C21">
        <w:rPr>
          <w:rFonts w:ascii="Arial" w:hAnsi="Arial" w:cs="Arial"/>
          <w:color w:val="000000" w:themeColor="text1"/>
          <w:sz w:val="22"/>
          <w:szCs w:val="22"/>
        </w:rPr>
        <w:t xml:space="preserve">We have completed four phase II clinical trials </w:t>
      </w:r>
      <w:r w:rsidR="00AF6464" w:rsidRPr="003C5C21">
        <w:rPr>
          <w:rFonts w:ascii="Arial" w:hAnsi="Arial" w:cs="Arial"/>
          <w:color w:val="000000" w:themeColor="text1"/>
          <w:sz w:val="22"/>
          <w:szCs w:val="22"/>
        </w:rPr>
        <w:t>depleting</w:t>
      </w:r>
      <w:r w:rsidRPr="003C5C21">
        <w:rPr>
          <w:rFonts w:ascii="Arial" w:hAnsi="Arial" w:cs="Arial"/>
          <w:color w:val="000000" w:themeColor="text1"/>
          <w:sz w:val="22"/>
          <w:szCs w:val="22"/>
        </w:rPr>
        <w:t xml:space="preserve"> alloreactive donor B cells targeting CD20 with rituximab therapy confirming cGVHD therapeutic and prevention benefits. We have developed our novel HY microarray to facilitate multiplexed accurate HY-Ab testing. HY-Ab correlative science testing has shown rituximab prophylaxis </w:t>
      </w:r>
      <w:r w:rsidRPr="003C5C21">
        <w:rPr>
          <w:rFonts w:ascii="Arial" w:hAnsi="Arial" w:cs="Arial"/>
          <w:color w:val="000000" w:themeColor="text1"/>
          <w:sz w:val="22"/>
          <w:szCs w:val="22"/>
        </w:rPr>
        <w:lastRenderedPageBreak/>
        <w:t>two months following alloHCT prevents alloreactive B cell development.  Most re</w:t>
      </w:r>
      <w:r w:rsidR="00DF27A9" w:rsidRPr="003C5C21">
        <w:rPr>
          <w:rFonts w:ascii="Arial" w:hAnsi="Arial" w:cs="Arial"/>
          <w:color w:val="000000" w:themeColor="text1"/>
          <w:sz w:val="22"/>
          <w:szCs w:val="22"/>
        </w:rPr>
        <w:t xml:space="preserve">cently, my research group has </w:t>
      </w:r>
      <w:proofErr w:type="gramStart"/>
      <w:r w:rsidRPr="003C5C21">
        <w:rPr>
          <w:rFonts w:ascii="Arial" w:hAnsi="Arial" w:cs="Arial"/>
          <w:color w:val="000000" w:themeColor="text1"/>
          <w:sz w:val="22"/>
          <w:szCs w:val="22"/>
        </w:rPr>
        <w:t>lead</w:t>
      </w:r>
      <w:proofErr w:type="gramEnd"/>
      <w:r w:rsidRPr="003C5C21">
        <w:rPr>
          <w:rFonts w:ascii="Arial" w:hAnsi="Arial" w:cs="Arial"/>
          <w:color w:val="000000" w:themeColor="text1"/>
          <w:sz w:val="22"/>
          <w:szCs w:val="22"/>
        </w:rPr>
        <w:t xml:space="preserve"> a multi-site phase I/II clinical trial testing the safety and tolerability of Ibrutinib for the treatment of </w:t>
      </w:r>
      <w:r w:rsidR="00CC6052" w:rsidRPr="003C5C21">
        <w:rPr>
          <w:rFonts w:ascii="Arial" w:hAnsi="Arial" w:cs="Arial"/>
          <w:color w:val="000000" w:themeColor="text1"/>
          <w:sz w:val="22"/>
          <w:szCs w:val="22"/>
        </w:rPr>
        <w:t xml:space="preserve">42 </w:t>
      </w:r>
      <w:r w:rsidRPr="003C5C21">
        <w:rPr>
          <w:rFonts w:ascii="Arial" w:hAnsi="Arial" w:cs="Arial"/>
          <w:color w:val="000000" w:themeColor="text1"/>
          <w:sz w:val="22"/>
          <w:szCs w:val="22"/>
        </w:rPr>
        <w:t>steroid refra</w:t>
      </w:r>
      <w:r w:rsidR="00CC6052" w:rsidRPr="003C5C21">
        <w:rPr>
          <w:rFonts w:ascii="Arial" w:hAnsi="Arial" w:cs="Arial"/>
          <w:color w:val="000000" w:themeColor="text1"/>
          <w:sz w:val="22"/>
          <w:szCs w:val="22"/>
        </w:rPr>
        <w:t>ctory /dependent cGVHD patients reporting 67% overall response.  Based on this study,</w:t>
      </w:r>
      <w:r w:rsidR="00DF27A9" w:rsidRPr="003C5C21">
        <w:rPr>
          <w:rFonts w:ascii="Arial" w:hAnsi="Arial" w:cs="Arial"/>
          <w:color w:val="000000" w:themeColor="text1"/>
          <w:sz w:val="22"/>
          <w:szCs w:val="22"/>
        </w:rPr>
        <w:t xml:space="preserve"> The FDA </w:t>
      </w:r>
      <w:r w:rsidR="00CC6052" w:rsidRPr="003C5C21">
        <w:rPr>
          <w:rFonts w:ascii="Arial" w:hAnsi="Arial" w:cs="Arial"/>
          <w:color w:val="000000" w:themeColor="text1"/>
          <w:sz w:val="22"/>
          <w:szCs w:val="22"/>
          <w:shd w:val="clear" w:color="auto" w:fill="FFFFFF"/>
        </w:rPr>
        <w:t>approved ibrutinib for the treatment of adult patients with chronic graft versus host disease (cGVHD) after failure of one or more lines of systemic therapy</w:t>
      </w:r>
      <w:r w:rsidR="00DF27A9" w:rsidRPr="003C5C21">
        <w:rPr>
          <w:rFonts w:ascii="Arial" w:hAnsi="Arial" w:cs="Arial"/>
          <w:color w:val="000000" w:themeColor="text1"/>
          <w:sz w:val="22"/>
          <w:szCs w:val="22"/>
          <w:shd w:val="clear" w:color="auto" w:fill="FFFFFF"/>
        </w:rPr>
        <w:t xml:space="preserve"> August 2</w:t>
      </w:r>
      <w:r w:rsidR="00DF27A9" w:rsidRPr="003C5C21">
        <w:rPr>
          <w:rFonts w:ascii="Arial" w:hAnsi="Arial" w:cs="Arial"/>
          <w:color w:val="000000" w:themeColor="text1"/>
          <w:sz w:val="22"/>
          <w:szCs w:val="22"/>
          <w:shd w:val="clear" w:color="auto" w:fill="FFFFFF"/>
          <w:vertAlign w:val="superscript"/>
        </w:rPr>
        <w:t>nd</w:t>
      </w:r>
      <w:r w:rsidR="00DF27A9" w:rsidRPr="003C5C21">
        <w:rPr>
          <w:rFonts w:ascii="Arial" w:hAnsi="Arial" w:cs="Arial"/>
          <w:color w:val="000000" w:themeColor="text1"/>
          <w:sz w:val="22"/>
          <w:szCs w:val="22"/>
          <w:shd w:val="clear" w:color="auto" w:fill="FFFFFF"/>
        </w:rPr>
        <w:t xml:space="preserve"> 2017</w:t>
      </w:r>
      <w:r w:rsidR="00CC6052" w:rsidRPr="003C5C21">
        <w:rPr>
          <w:rFonts w:ascii="Arial" w:hAnsi="Arial" w:cs="Arial"/>
          <w:color w:val="000000" w:themeColor="text1"/>
          <w:sz w:val="22"/>
          <w:szCs w:val="22"/>
          <w:shd w:val="clear" w:color="auto" w:fill="FFFFFF"/>
        </w:rPr>
        <w:t>. This is the first FDA-approved therapy for the treatment of cGVHD.</w:t>
      </w:r>
    </w:p>
    <w:p w14:paraId="1B42ECF0" w14:textId="77777777" w:rsidR="003C5C21" w:rsidRPr="003C5C21" w:rsidRDefault="003C5C21" w:rsidP="003C5C21">
      <w:pPr>
        <w:pStyle w:val="BodyText"/>
        <w:spacing w:after="0"/>
        <w:jc w:val="both"/>
        <w:rPr>
          <w:rFonts w:ascii="Arial" w:hAnsi="Arial" w:cs="Arial"/>
          <w:color w:val="000000" w:themeColor="text1"/>
          <w:sz w:val="12"/>
          <w:szCs w:val="12"/>
        </w:rPr>
      </w:pPr>
    </w:p>
    <w:p w14:paraId="5099DF0D" w14:textId="0FA7316C" w:rsidR="00DF27A9" w:rsidRPr="00E8668F" w:rsidRDefault="00D00945" w:rsidP="00E8668F">
      <w:pPr>
        <w:pStyle w:val="BodyText"/>
        <w:numPr>
          <w:ilvl w:val="0"/>
          <w:numId w:val="36"/>
        </w:numPr>
        <w:spacing w:after="0"/>
        <w:ind w:left="360"/>
        <w:contextualSpacing/>
        <w:jc w:val="both"/>
        <w:rPr>
          <w:rStyle w:val="pmcid"/>
          <w:rFonts w:ascii="Arial" w:hAnsi="Arial" w:cs="Arial"/>
          <w:sz w:val="22"/>
          <w:szCs w:val="22"/>
        </w:rPr>
      </w:pPr>
      <w:r w:rsidRPr="00E8668F">
        <w:rPr>
          <w:rFonts w:ascii="Arial" w:hAnsi="Arial" w:cs="Arial"/>
          <w:sz w:val="22"/>
          <w:szCs w:val="22"/>
        </w:rPr>
        <w:t xml:space="preserve">Cutler C*, </w:t>
      </w:r>
      <w:r w:rsidRPr="00E8668F">
        <w:rPr>
          <w:rFonts w:ascii="Arial" w:hAnsi="Arial" w:cs="Arial"/>
          <w:b/>
          <w:bCs/>
          <w:sz w:val="22"/>
          <w:szCs w:val="22"/>
        </w:rPr>
        <w:t>Miklos D*</w:t>
      </w:r>
      <w:r w:rsidRPr="00E8668F">
        <w:rPr>
          <w:rFonts w:ascii="Arial" w:hAnsi="Arial" w:cs="Arial"/>
          <w:sz w:val="22"/>
          <w:szCs w:val="22"/>
        </w:rPr>
        <w:t xml:space="preserve">, Kim HT, </w:t>
      </w:r>
      <w:proofErr w:type="spellStart"/>
      <w:r w:rsidRPr="00E8668F">
        <w:rPr>
          <w:rFonts w:ascii="Arial" w:hAnsi="Arial" w:cs="Arial"/>
          <w:sz w:val="22"/>
          <w:szCs w:val="22"/>
        </w:rPr>
        <w:t>Treister</w:t>
      </w:r>
      <w:proofErr w:type="spellEnd"/>
      <w:r w:rsidRPr="00E8668F">
        <w:rPr>
          <w:rFonts w:ascii="Arial" w:hAnsi="Arial" w:cs="Arial"/>
          <w:sz w:val="22"/>
          <w:szCs w:val="22"/>
        </w:rPr>
        <w:t xml:space="preserve"> N, Woo SB, </w:t>
      </w:r>
      <w:proofErr w:type="spellStart"/>
      <w:r w:rsidRPr="00E8668F">
        <w:rPr>
          <w:rFonts w:ascii="Arial" w:hAnsi="Arial" w:cs="Arial"/>
          <w:sz w:val="22"/>
          <w:szCs w:val="22"/>
        </w:rPr>
        <w:t>Bienfang</w:t>
      </w:r>
      <w:proofErr w:type="spellEnd"/>
      <w:r w:rsidRPr="00E8668F">
        <w:rPr>
          <w:rFonts w:ascii="Arial" w:hAnsi="Arial" w:cs="Arial"/>
          <w:sz w:val="22"/>
          <w:szCs w:val="22"/>
        </w:rPr>
        <w:t xml:space="preserve"> D, </w:t>
      </w:r>
      <w:proofErr w:type="spellStart"/>
      <w:r w:rsidRPr="00E8668F">
        <w:rPr>
          <w:rFonts w:ascii="Arial" w:hAnsi="Arial" w:cs="Arial"/>
          <w:sz w:val="22"/>
          <w:szCs w:val="22"/>
        </w:rPr>
        <w:t>Klickstein</w:t>
      </w:r>
      <w:proofErr w:type="spellEnd"/>
      <w:r w:rsidRPr="00E8668F">
        <w:rPr>
          <w:rFonts w:ascii="Arial" w:hAnsi="Arial" w:cs="Arial"/>
          <w:sz w:val="22"/>
          <w:szCs w:val="22"/>
        </w:rPr>
        <w:t xml:space="preserve"> LB, Levin J, Miller K, Reynolds C, Macdonell R, </w:t>
      </w:r>
      <w:proofErr w:type="spellStart"/>
      <w:r w:rsidRPr="00E8668F">
        <w:rPr>
          <w:rFonts w:ascii="Arial" w:hAnsi="Arial" w:cs="Arial"/>
          <w:sz w:val="22"/>
          <w:szCs w:val="22"/>
        </w:rPr>
        <w:t>Pasek</w:t>
      </w:r>
      <w:proofErr w:type="spellEnd"/>
      <w:r w:rsidRPr="00E8668F">
        <w:rPr>
          <w:rFonts w:ascii="Arial" w:hAnsi="Arial" w:cs="Arial"/>
          <w:sz w:val="22"/>
          <w:szCs w:val="22"/>
        </w:rPr>
        <w:t xml:space="preserve"> M, Lee SJ, Ho V, Soiffer R, Antin JH, Ritz J, Alyea E. Rituximab for steroid-refractory chronic graft-vs.-host disease. Blood 2006; 108:756-62.  *both authors contributed equally.  </w:t>
      </w:r>
      <w:r w:rsidRPr="00E8668F">
        <w:rPr>
          <w:rStyle w:val="pmcid"/>
          <w:rFonts w:ascii="Arial" w:hAnsi="Arial" w:cs="Arial"/>
          <w:sz w:val="22"/>
          <w:szCs w:val="22"/>
        </w:rPr>
        <w:t>PMCID: PMC1895490</w:t>
      </w:r>
      <w:r w:rsidR="00AF6464" w:rsidRPr="00E8668F">
        <w:rPr>
          <w:rStyle w:val="pmcid"/>
          <w:rFonts w:ascii="Arial" w:hAnsi="Arial" w:cs="Arial"/>
          <w:sz w:val="22"/>
          <w:szCs w:val="22"/>
        </w:rPr>
        <w:t>.</w:t>
      </w:r>
    </w:p>
    <w:p w14:paraId="7E5FA73B" w14:textId="2CCB5440" w:rsidR="00D00945" w:rsidRPr="00E8668F" w:rsidRDefault="00D00945" w:rsidP="00E8668F">
      <w:pPr>
        <w:pStyle w:val="BodyText"/>
        <w:numPr>
          <w:ilvl w:val="0"/>
          <w:numId w:val="36"/>
        </w:numPr>
        <w:spacing w:after="0"/>
        <w:ind w:left="360"/>
        <w:contextualSpacing/>
        <w:jc w:val="both"/>
        <w:rPr>
          <w:rFonts w:ascii="Arial" w:hAnsi="Arial" w:cs="Arial"/>
          <w:sz w:val="22"/>
          <w:szCs w:val="22"/>
        </w:rPr>
      </w:pPr>
      <w:r w:rsidRPr="00E8668F">
        <w:rPr>
          <w:rFonts w:ascii="Arial" w:hAnsi="Arial" w:cs="Arial"/>
          <w:sz w:val="22"/>
          <w:szCs w:val="22"/>
        </w:rPr>
        <w:t xml:space="preserve">Arai S, Sahaf B, Narasimhan B, Chen G, Jones C, Lowsky R, Shizuru J, Johnston L, </w:t>
      </w:r>
      <w:proofErr w:type="spellStart"/>
      <w:r w:rsidRPr="00E8668F">
        <w:rPr>
          <w:rFonts w:ascii="Arial" w:hAnsi="Arial" w:cs="Arial"/>
          <w:sz w:val="22"/>
          <w:szCs w:val="22"/>
        </w:rPr>
        <w:t>Laport</w:t>
      </w:r>
      <w:proofErr w:type="spellEnd"/>
      <w:r w:rsidRPr="00E8668F">
        <w:rPr>
          <w:rFonts w:ascii="Arial" w:hAnsi="Arial" w:cs="Arial"/>
          <w:sz w:val="22"/>
          <w:szCs w:val="22"/>
        </w:rPr>
        <w:t xml:space="preserve"> G, Weng WK, Benjamin J, </w:t>
      </w:r>
      <w:proofErr w:type="spellStart"/>
      <w:r w:rsidRPr="00E8668F">
        <w:rPr>
          <w:rFonts w:ascii="Arial" w:hAnsi="Arial" w:cs="Arial"/>
          <w:sz w:val="22"/>
          <w:szCs w:val="22"/>
        </w:rPr>
        <w:t>Schaenman</w:t>
      </w:r>
      <w:proofErr w:type="spellEnd"/>
      <w:r w:rsidRPr="00E8668F">
        <w:rPr>
          <w:rFonts w:ascii="Arial" w:hAnsi="Arial" w:cs="Arial"/>
          <w:sz w:val="22"/>
          <w:szCs w:val="22"/>
        </w:rPr>
        <w:t xml:space="preserve"> J, Brown J, Ramirez J, Zehnder JL, Negrin, RS, </w:t>
      </w:r>
      <w:r w:rsidRPr="00E8668F">
        <w:rPr>
          <w:rFonts w:ascii="Arial" w:hAnsi="Arial" w:cs="Arial"/>
          <w:b/>
          <w:bCs/>
          <w:sz w:val="22"/>
          <w:szCs w:val="22"/>
        </w:rPr>
        <w:t>Miklos, DB</w:t>
      </w:r>
      <w:r w:rsidRPr="00E8668F">
        <w:rPr>
          <w:rFonts w:ascii="Arial" w:hAnsi="Arial" w:cs="Arial"/>
          <w:sz w:val="22"/>
          <w:szCs w:val="22"/>
        </w:rPr>
        <w:t xml:space="preserve">. Prophylactic Rituximab after Allogeneic Transplantation Decreases B cell </w:t>
      </w:r>
      <w:proofErr w:type="spellStart"/>
      <w:r w:rsidRPr="00E8668F">
        <w:rPr>
          <w:rFonts w:ascii="Arial" w:hAnsi="Arial" w:cs="Arial"/>
          <w:sz w:val="22"/>
          <w:szCs w:val="22"/>
        </w:rPr>
        <w:t>Alloimmunity</w:t>
      </w:r>
      <w:proofErr w:type="spellEnd"/>
      <w:r w:rsidRPr="00E8668F">
        <w:rPr>
          <w:rFonts w:ascii="Arial" w:hAnsi="Arial" w:cs="Arial"/>
          <w:sz w:val="22"/>
          <w:szCs w:val="22"/>
        </w:rPr>
        <w:t xml:space="preserve"> with Low Chronic GVHD Incidence. </w:t>
      </w:r>
      <w:r w:rsidRPr="00E8668F">
        <w:rPr>
          <w:rStyle w:val="jrnl"/>
          <w:rFonts w:ascii="Arial" w:hAnsi="Arial" w:cs="Arial"/>
          <w:sz w:val="22"/>
          <w:szCs w:val="22"/>
        </w:rPr>
        <w:t>Blood</w:t>
      </w:r>
      <w:r w:rsidRPr="00E8668F">
        <w:rPr>
          <w:rFonts w:ascii="Arial" w:hAnsi="Arial" w:cs="Arial"/>
          <w:sz w:val="22"/>
          <w:szCs w:val="22"/>
        </w:rPr>
        <w:t>. 2012 Jun 21;119(25):6145-54.  PMCID: PMC3383022.</w:t>
      </w:r>
    </w:p>
    <w:p w14:paraId="5585A085" w14:textId="43456277" w:rsidR="00DF27A9" w:rsidRPr="00E8668F" w:rsidRDefault="00502E92" w:rsidP="00E8668F">
      <w:pPr>
        <w:autoSpaceDE/>
        <w:autoSpaceDN/>
        <w:ind w:left="360" w:hanging="360"/>
        <w:rPr>
          <w:rFonts w:cs="Arial"/>
          <w:szCs w:val="22"/>
        </w:rPr>
      </w:pPr>
      <w:r>
        <w:rPr>
          <w:rFonts w:cs="Arial"/>
          <w:bCs/>
          <w:szCs w:val="22"/>
        </w:rPr>
        <w:t>3</w:t>
      </w:r>
      <w:r w:rsidR="00E8668F" w:rsidRPr="00E8668F">
        <w:rPr>
          <w:rFonts w:cs="Arial"/>
          <w:bCs/>
          <w:szCs w:val="22"/>
        </w:rPr>
        <w:t>.</w:t>
      </w:r>
      <w:r w:rsidR="00E8668F" w:rsidRPr="00E8668F">
        <w:rPr>
          <w:rFonts w:cs="Arial"/>
          <w:b/>
          <w:bCs/>
          <w:szCs w:val="22"/>
        </w:rPr>
        <w:tab/>
      </w:r>
      <w:r w:rsidR="00DF27A9" w:rsidRPr="00E8668F">
        <w:rPr>
          <w:rFonts w:cs="Arial"/>
          <w:b/>
          <w:bCs/>
          <w:szCs w:val="22"/>
        </w:rPr>
        <w:t>Miklos D,</w:t>
      </w:r>
      <w:r w:rsidR="00DF27A9" w:rsidRPr="00E8668F">
        <w:rPr>
          <w:rFonts w:cs="Arial"/>
          <w:bCs/>
          <w:szCs w:val="22"/>
        </w:rPr>
        <w:t xml:space="preserve"> </w:t>
      </w:r>
      <w:r w:rsidR="00DF27A9" w:rsidRPr="00E8668F">
        <w:rPr>
          <w:rFonts w:cs="Arial"/>
          <w:szCs w:val="22"/>
        </w:rPr>
        <w:t xml:space="preserve">Cutler CS, Arora M, Waller EK, Jagasia M, Pusic, Flowers ME, Logan AC, Nakamura R, Blazar BR, Li Y, Chang S, Lal I, </w:t>
      </w:r>
      <w:proofErr w:type="spellStart"/>
      <w:r w:rsidR="00DF27A9" w:rsidRPr="00E8668F">
        <w:rPr>
          <w:rFonts w:cs="Arial"/>
          <w:szCs w:val="22"/>
        </w:rPr>
        <w:t>Dubovsky</w:t>
      </w:r>
      <w:proofErr w:type="spellEnd"/>
      <w:r w:rsidR="00DF27A9" w:rsidRPr="00E8668F">
        <w:rPr>
          <w:rFonts w:cs="Arial"/>
          <w:szCs w:val="22"/>
        </w:rPr>
        <w:t xml:space="preserve"> J, James DF, Styles L, Jaglowski S. Ibrutinib for chronic graft-versus-host disease after failure of prior therapy. </w:t>
      </w:r>
      <w:hyperlink r:id="rId11" w:tooltip="Blood." w:history="1">
        <w:r w:rsidR="00E8668F" w:rsidRPr="00E8668F">
          <w:rPr>
            <w:rStyle w:val="Hyperlink"/>
            <w:rFonts w:cs="Arial"/>
            <w:color w:val="auto"/>
            <w:szCs w:val="22"/>
            <w:u w:val="none"/>
          </w:rPr>
          <w:t>Blood.</w:t>
        </w:r>
      </w:hyperlink>
      <w:r w:rsidR="00E8668F" w:rsidRPr="00E8668F">
        <w:rPr>
          <w:rFonts w:cs="Arial"/>
          <w:szCs w:val="22"/>
        </w:rPr>
        <w:t xml:space="preserve"> 2017 Nov 23;130(21):2243-2250.  PMCID: </w:t>
      </w:r>
      <w:hyperlink r:id="rId12" w:history="1">
        <w:r w:rsidR="00E8668F" w:rsidRPr="00E8668F">
          <w:rPr>
            <w:rStyle w:val="Hyperlink"/>
            <w:rFonts w:cs="Arial"/>
            <w:color w:val="auto"/>
            <w:szCs w:val="22"/>
            <w:u w:val="none"/>
          </w:rPr>
          <w:t>PMC6033048</w:t>
        </w:r>
      </w:hyperlink>
      <w:r w:rsidR="00E8668F" w:rsidRPr="00E8668F">
        <w:rPr>
          <w:rFonts w:cs="Arial"/>
          <w:szCs w:val="22"/>
        </w:rPr>
        <w:t>.</w:t>
      </w:r>
    </w:p>
    <w:p w14:paraId="5FF40E8F" w14:textId="263439C7" w:rsidR="00CC336D" w:rsidRPr="003C5C21" w:rsidRDefault="00CC336D" w:rsidP="003C5C21">
      <w:pPr>
        <w:autoSpaceDE/>
        <w:autoSpaceDN/>
        <w:contextualSpacing/>
        <w:jc w:val="both"/>
        <w:rPr>
          <w:rFonts w:cs="Arial"/>
          <w:color w:val="000000"/>
          <w:sz w:val="12"/>
          <w:szCs w:val="12"/>
        </w:rPr>
      </w:pPr>
    </w:p>
    <w:p w14:paraId="5497F5C1" w14:textId="775E44A8" w:rsidR="00CC336D" w:rsidRPr="003C5C21" w:rsidRDefault="00641FD8" w:rsidP="00B03B66">
      <w:pPr>
        <w:autoSpaceDE/>
        <w:autoSpaceDN/>
        <w:ind w:left="360" w:hanging="360"/>
        <w:jc w:val="both"/>
        <w:rPr>
          <w:rFonts w:cs="Arial"/>
          <w:b/>
          <w:color w:val="000000"/>
          <w:szCs w:val="22"/>
        </w:rPr>
      </w:pPr>
      <w:r w:rsidRPr="003C5C21">
        <w:rPr>
          <w:rFonts w:cs="Arial"/>
          <w:b/>
          <w:color w:val="000000"/>
          <w:szCs w:val="22"/>
        </w:rPr>
        <w:t>4</w:t>
      </w:r>
      <w:r w:rsidR="00CC336D" w:rsidRPr="003C5C21">
        <w:rPr>
          <w:rFonts w:cs="Arial"/>
          <w:b/>
          <w:color w:val="000000"/>
          <w:szCs w:val="22"/>
        </w:rPr>
        <w:t>)</w:t>
      </w:r>
      <w:r w:rsidR="004A4402">
        <w:rPr>
          <w:rFonts w:cs="Arial"/>
          <w:b/>
          <w:color w:val="000000"/>
          <w:szCs w:val="22"/>
        </w:rPr>
        <w:tab/>
      </w:r>
      <w:r w:rsidR="00AF6464" w:rsidRPr="003C5C21">
        <w:rPr>
          <w:rFonts w:cs="Arial"/>
          <w:b/>
          <w:color w:val="000000"/>
          <w:szCs w:val="22"/>
        </w:rPr>
        <w:t>Dr. Miklos’ group developed</w:t>
      </w:r>
      <w:r w:rsidR="00EA2A0B" w:rsidRPr="003C5C21">
        <w:rPr>
          <w:rFonts w:cs="Arial"/>
          <w:b/>
          <w:color w:val="000000"/>
          <w:szCs w:val="22"/>
        </w:rPr>
        <w:t xml:space="preserve"> ultrasensitive lymphoid neoplasia quantification</w:t>
      </w:r>
      <w:r w:rsidR="00EA2A0B" w:rsidRPr="003C5C21">
        <w:rPr>
          <w:rFonts w:cs="Arial"/>
          <w:b/>
          <w:szCs w:val="22"/>
        </w:rPr>
        <w:t xml:space="preserve"> method</w:t>
      </w:r>
      <w:r w:rsidR="00AF6464" w:rsidRPr="003C5C21">
        <w:rPr>
          <w:rFonts w:cs="Arial"/>
          <w:b/>
          <w:szCs w:val="22"/>
        </w:rPr>
        <w:t>s</w:t>
      </w:r>
      <w:r w:rsidR="00EA2A0B" w:rsidRPr="003C5C21">
        <w:rPr>
          <w:rFonts w:cs="Arial"/>
          <w:b/>
          <w:szCs w:val="22"/>
        </w:rPr>
        <w:t xml:space="preserve"> using </w:t>
      </w:r>
      <w:r w:rsidR="00EA2A0B" w:rsidRPr="003C5C21">
        <w:rPr>
          <w:rFonts w:cs="Arial"/>
          <w:b/>
          <w:color w:val="000000"/>
          <w:szCs w:val="22"/>
        </w:rPr>
        <w:t>h</w:t>
      </w:r>
      <w:r w:rsidR="00950FEB" w:rsidRPr="003C5C21">
        <w:rPr>
          <w:rFonts w:cs="Arial"/>
          <w:b/>
          <w:color w:val="000000"/>
          <w:szCs w:val="22"/>
        </w:rPr>
        <w:t xml:space="preserve">igh-throughput sequencing </w:t>
      </w:r>
      <w:r w:rsidR="00AF6464" w:rsidRPr="003C5C21">
        <w:rPr>
          <w:rFonts w:cs="Arial"/>
          <w:b/>
          <w:color w:val="000000"/>
          <w:szCs w:val="22"/>
        </w:rPr>
        <w:t xml:space="preserve">(HTS) </w:t>
      </w:r>
      <w:r w:rsidR="00950FEB" w:rsidRPr="003C5C21">
        <w:rPr>
          <w:rFonts w:cs="Arial"/>
          <w:b/>
          <w:color w:val="000000"/>
          <w:szCs w:val="22"/>
        </w:rPr>
        <w:t xml:space="preserve">of immune receptors </w:t>
      </w:r>
      <w:r w:rsidR="00EA2A0B" w:rsidRPr="003C5C21">
        <w:rPr>
          <w:rFonts w:cs="Arial"/>
          <w:b/>
          <w:color w:val="000000"/>
          <w:szCs w:val="22"/>
        </w:rPr>
        <w:t>and demonstrated</w:t>
      </w:r>
      <w:r w:rsidR="00AF6464" w:rsidRPr="003C5C21">
        <w:rPr>
          <w:rFonts w:cs="Arial"/>
          <w:b/>
          <w:color w:val="000000"/>
          <w:szCs w:val="22"/>
        </w:rPr>
        <w:t xml:space="preserve"> clinical utility</w:t>
      </w:r>
      <w:r w:rsidR="00EA2A0B" w:rsidRPr="003C5C21">
        <w:rPr>
          <w:rFonts w:cs="Arial"/>
          <w:b/>
          <w:color w:val="000000"/>
          <w:szCs w:val="22"/>
        </w:rPr>
        <w:t xml:space="preserve"> </w:t>
      </w:r>
      <w:r w:rsidR="00AF6464" w:rsidRPr="003C5C21">
        <w:rPr>
          <w:rFonts w:cs="Arial"/>
          <w:b/>
          <w:color w:val="000000"/>
          <w:szCs w:val="22"/>
        </w:rPr>
        <w:t>for</w:t>
      </w:r>
      <w:r w:rsidR="00EA2A0B" w:rsidRPr="003C5C21">
        <w:rPr>
          <w:rFonts w:cs="Arial"/>
          <w:b/>
          <w:color w:val="000000"/>
          <w:szCs w:val="22"/>
        </w:rPr>
        <w:t xml:space="preserve"> a variety of hematologic malignancies</w:t>
      </w:r>
      <w:r w:rsidR="00CC336D" w:rsidRPr="003C5C21">
        <w:rPr>
          <w:rFonts w:cs="Arial"/>
          <w:b/>
          <w:color w:val="000000"/>
          <w:szCs w:val="22"/>
        </w:rPr>
        <w:t>.</w:t>
      </w:r>
    </w:p>
    <w:p w14:paraId="546327B3" w14:textId="77777777" w:rsidR="00BB5B75" w:rsidRPr="003C5C21" w:rsidRDefault="00BB5B75" w:rsidP="003C5C21">
      <w:pPr>
        <w:autoSpaceDE/>
        <w:autoSpaceDN/>
        <w:jc w:val="both"/>
        <w:rPr>
          <w:rFonts w:cs="Arial"/>
          <w:bCs/>
          <w:sz w:val="12"/>
          <w:szCs w:val="12"/>
        </w:rPr>
      </w:pPr>
    </w:p>
    <w:p w14:paraId="7FBBFED1" w14:textId="3F4776C8" w:rsidR="00CC336D" w:rsidRPr="00A3122A" w:rsidRDefault="00D00945" w:rsidP="00A3122A">
      <w:pPr>
        <w:pStyle w:val="ListParagraph"/>
        <w:numPr>
          <w:ilvl w:val="0"/>
          <w:numId w:val="37"/>
        </w:numPr>
        <w:autoSpaceDE/>
        <w:autoSpaceDN/>
        <w:ind w:left="360"/>
        <w:jc w:val="both"/>
        <w:rPr>
          <w:rStyle w:val="pmcid"/>
          <w:rFonts w:cs="Arial"/>
          <w:bCs/>
          <w:szCs w:val="22"/>
        </w:rPr>
      </w:pPr>
      <w:r w:rsidRPr="00A3122A">
        <w:rPr>
          <w:rFonts w:cs="Arial"/>
          <w:szCs w:val="22"/>
        </w:rPr>
        <w:t xml:space="preserve">Boyd SD, Marshall EL, </w:t>
      </w:r>
      <w:proofErr w:type="spellStart"/>
      <w:r w:rsidRPr="00A3122A">
        <w:rPr>
          <w:rFonts w:cs="Arial"/>
          <w:szCs w:val="22"/>
        </w:rPr>
        <w:t>Merker</w:t>
      </w:r>
      <w:proofErr w:type="spellEnd"/>
      <w:r w:rsidRPr="00A3122A">
        <w:rPr>
          <w:rFonts w:cs="Arial"/>
          <w:szCs w:val="22"/>
        </w:rPr>
        <w:t xml:space="preserve"> JD, </w:t>
      </w:r>
      <w:proofErr w:type="spellStart"/>
      <w:r w:rsidRPr="00A3122A">
        <w:rPr>
          <w:rFonts w:cs="Arial"/>
          <w:szCs w:val="22"/>
        </w:rPr>
        <w:t>Maniar</w:t>
      </w:r>
      <w:proofErr w:type="spellEnd"/>
      <w:r w:rsidRPr="00A3122A">
        <w:rPr>
          <w:rFonts w:cs="Arial"/>
          <w:szCs w:val="22"/>
        </w:rPr>
        <w:t xml:space="preserve"> JM, Zhang LN, Sahaf B, Jones CD, </w:t>
      </w:r>
      <w:proofErr w:type="spellStart"/>
      <w:r w:rsidRPr="00A3122A">
        <w:rPr>
          <w:rFonts w:cs="Arial"/>
          <w:szCs w:val="22"/>
        </w:rPr>
        <w:t>Simen</w:t>
      </w:r>
      <w:proofErr w:type="spellEnd"/>
      <w:r w:rsidRPr="00A3122A">
        <w:rPr>
          <w:rFonts w:cs="Arial"/>
          <w:szCs w:val="22"/>
        </w:rPr>
        <w:t xml:space="preserve"> BB, </w:t>
      </w:r>
      <w:proofErr w:type="spellStart"/>
      <w:r w:rsidRPr="00A3122A">
        <w:rPr>
          <w:rFonts w:cs="Arial"/>
          <w:szCs w:val="22"/>
        </w:rPr>
        <w:t>Hanczaruk</w:t>
      </w:r>
      <w:proofErr w:type="spellEnd"/>
      <w:r w:rsidRPr="00A3122A">
        <w:rPr>
          <w:rFonts w:cs="Arial"/>
          <w:szCs w:val="22"/>
        </w:rPr>
        <w:t xml:space="preserve"> B, Nguyen KD, Nadeau KC, </w:t>
      </w:r>
      <w:proofErr w:type="spellStart"/>
      <w:r w:rsidRPr="00A3122A">
        <w:rPr>
          <w:rFonts w:cs="Arial"/>
          <w:szCs w:val="22"/>
        </w:rPr>
        <w:t>Egholm</w:t>
      </w:r>
      <w:proofErr w:type="spellEnd"/>
      <w:r w:rsidRPr="00A3122A">
        <w:rPr>
          <w:rFonts w:cs="Arial"/>
          <w:szCs w:val="22"/>
        </w:rPr>
        <w:t xml:space="preserve"> M, </w:t>
      </w:r>
      <w:r w:rsidRPr="00A3122A">
        <w:rPr>
          <w:rFonts w:cs="Arial"/>
          <w:b/>
          <w:szCs w:val="22"/>
        </w:rPr>
        <w:t>Miklos DB</w:t>
      </w:r>
      <w:r w:rsidRPr="00A3122A">
        <w:rPr>
          <w:rFonts w:cs="Arial"/>
          <w:szCs w:val="22"/>
        </w:rPr>
        <w:t xml:space="preserve">, Zehnder JJ, Fire AZ, Measurement and clinical monitoring of human lymphocyte clonality by massively parallel V-D-J pyrosequencing.  Sci. Transl. Med. 1, 12ra23 (2009).  </w:t>
      </w:r>
      <w:r w:rsidRPr="00A3122A">
        <w:rPr>
          <w:rStyle w:val="pmcid"/>
          <w:rFonts w:cs="Arial"/>
          <w:szCs w:val="22"/>
        </w:rPr>
        <w:t xml:space="preserve">PMCID: PMC2819115. </w:t>
      </w:r>
    </w:p>
    <w:p w14:paraId="73B9F075" w14:textId="450B72C1" w:rsidR="00AF6464" w:rsidRPr="00A3122A" w:rsidRDefault="00D00945" w:rsidP="00A3122A">
      <w:pPr>
        <w:pStyle w:val="ListParagraph"/>
        <w:numPr>
          <w:ilvl w:val="0"/>
          <w:numId w:val="37"/>
        </w:numPr>
        <w:autoSpaceDE/>
        <w:autoSpaceDN/>
        <w:ind w:left="360"/>
        <w:jc w:val="both"/>
        <w:rPr>
          <w:rFonts w:cs="Arial"/>
          <w:szCs w:val="22"/>
        </w:rPr>
      </w:pPr>
      <w:r w:rsidRPr="00A3122A">
        <w:rPr>
          <w:rFonts w:cs="Arial"/>
          <w:szCs w:val="22"/>
        </w:rPr>
        <w:t xml:space="preserve">Logan AC, Gao H, Wang C, Sahaf B, Jones CD, Marshall EL, </w:t>
      </w:r>
      <w:proofErr w:type="spellStart"/>
      <w:r w:rsidRPr="00A3122A">
        <w:rPr>
          <w:rFonts w:cs="Arial"/>
          <w:szCs w:val="22"/>
        </w:rPr>
        <w:t>Buño</w:t>
      </w:r>
      <w:proofErr w:type="spellEnd"/>
      <w:r w:rsidRPr="00A3122A">
        <w:rPr>
          <w:rFonts w:cs="Arial"/>
          <w:szCs w:val="22"/>
        </w:rPr>
        <w:t xml:space="preserve"> I, Armstrong R, Fire AZ, Weinberg KI, </w:t>
      </w:r>
      <w:proofErr w:type="spellStart"/>
      <w:r w:rsidRPr="00A3122A">
        <w:rPr>
          <w:rFonts w:cs="Arial"/>
          <w:szCs w:val="22"/>
        </w:rPr>
        <w:t>Mindrinos</w:t>
      </w:r>
      <w:proofErr w:type="spellEnd"/>
      <w:r w:rsidRPr="00A3122A">
        <w:rPr>
          <w:rFonts w:cs="Arial"/>
          <w:szCs w:val="22"/>
        </w:rPr>
        <w:t xml:space="preserve"> M, Zehnder JL, Boyd SD, Xiao W, Davis RW, </w:t>
      </w:r>
      <w:r w:rsidRPr="00A3122A">
        <w:rPr>
          <w:rFonts w:cs="Arial"/>
          <w:b/>
          <w:szCs w:val="22"/>
        </w:rPr>
        <w:t>Miklos DB</w:t>
      </w:r>
      <w:r w:rsidRPr="00A3122A">
        <w:rPr>
          <w:rFonts w:cs="Arial"/>
          <w:szCs w:val="22"/>
        </w:rPr>
        <w:t>.</w:t>
      </w:r>
      <w:r w:rsidRPr="00A3122A">
        <w:rPr>
          <w:rFonts w:cs="Arial"/>
          <w:b/>
          <w:szCs w:val="22"/>
        </w:rPr>
        <w:t xml:space="preserve"> </w:t>
      </w:r>
      <w:r w:rsidRPr="00A3122A">
        <w:rPr>
          <w:rFonts w:cs="Arial"/>
          <w:szCs w:val="22"/>
        </w:rPr>
        <w:t xml:space="preserve">High-throughput VDJ sequencing for quantification of minimal residual disease in chronic lymphocytic leukemia and immune reconstitution assessment.  Proc Natl </w:t>
      </w:r>
      <w:proofErr w:type="spellStart"/>
      <w:r w:rsidRPr="00A3122A">
        <w:rPr>
          <w:rFonts w:cs="Arial"/>
          <w:szCs w:val="22"/>
        </w:rPr>
        <w:t>Acad</w:t>
      </w:r>
      <w:proofErr w:type="spellEnd"/>
      <w:r w:rsidRPr="00A3122A">
        <w:rPr>
          <w:rFonts w:cs="Arial"/>
          <w:szCs w:val="22"/>
        </w:rPr>
        <w:t xml:space="preserve"> Sci USA, 2011 Dec 27; 108(52):21194-9.  PMCID: PMC3248502</w:t>
      </w:r>
      <w:r w:rsidR="003C5C21" w:rsidRPr="00A3122A">
        <w:rPr>
          <w:rFonts w:cs="Arial"/>
          <w:szCs w:val="22"/>
        </w:rPr>
        <w:t>.</w:t>
      </w:r>
    </w:p>
    <w:p w14:paraId="5F72A7E9" w14:textId="3C50E985" w:rsidR="00AF6464" w:rsidRPr="00A3122A" w:rsidRDefault="00AF6464" w:rsidP="00A3122A">
      <w:pPr>
        <w:pStyle w:val="ListParagraph"/>
        <w:numPr>
          <w:ilvl w:val="0"/>
          <w:numId w:val="37"/>
        </w:numPr>
        <w:autoSpaceDE/>
        <w:autoSpaceDN/>
        <w:ind w:left="360"/>
        <w:jc w:val="both"/>
        <w:rPr>
          <w:rFonts w:cs="Arial"/>
          <w:bCs/>
          <w:szCs w:val="22"/>
        </w:rPr>
      </w:pPr>
      <w:r w:rsidRPr="00A3122A">
        <w:rPr>
          <w:rFonts w:cs="Arial"/>
          <w:szCs w:val="22"/>
        </w:rPr>
        <w:t xml:space="preserve">Logan AC, Zhang B, Narasimhan B, Carlton V, Zheng J, Moorhead M, </w:t>
      </w:r>
      <w:proofErr w:type="spellStart"/>
      <w:r w:rsidRPr="00A3122A">
        <w:rPr>
          <w:rFonts w:cs="Arial"/>
          <w:szCs w:val="22"/>
        </w:rPr>
        <w:t>Krampf</w:t>
      </w:r>
      <w:proofErr w:type="spellEnd"/>
      <w:r w:rsidRPr="00A3122A">
        <w:rPr>
          <w:rFonts w:cs="Arial"/>
          <w:szCs w:val="22"/>
        </w:rPr>
        <w:t xml:space="preserve"> MR, Jones CD, Waqar AN, </w:t>
      </w:r>
      <w:proofErr w:type="spellStart"/>
      <w:r w:rsidRPr="00A3122A">
        <w:rPr>
          <w:rFonts w:cs="Arial"/>
          <w:szCs w:val="22"/>
        </w:rPr>
        <w:t>Faham</w:t>
      </w:r>
      <w:proofErr w:type="spellEnd"/>
      <w:r w:rsidRPr="00A3122A">
        <w:rPr>
          <w:rFonts w:cs="Arial"/>
          <w:szCs w:val="22"/>
        </w:rPr>
        <w:t xml:space="preserve"> M, Zehnder JL, </w:t>
      </w:r>
      <w:r w:rsidRPr="00A3122A">
        <w:rPr>
          <w:rFonts w:cs="Arial"/>
          <w:b/>
          <w:szCs w:val="22"/>
        </w:rPr>
        <w:t>Miklos DB</w:t>
      </w:r>
      <w:r w:rsidRPr="00A3122A">
        <w:rPr>
          <w:rFonts w:cs="Arial"/>
          <w:szCs w:val="22"/>
        </w:rPr>
        <w:t xml:space="preserve">. Minimal Residual Disease Quantification Using Consensus Primers and High-Throughput IGH Sequencing Predicts Post-Transplant Relapse in Chronic Lymphocytic Leukemia. </w:t>
      </w:r>
      <w:hyperlink r:id="rId13" w:tooltip="Leukemia." w:history="1">
        <w:r w:rsidRPr="00A3122A">
          <w:rPr>
            <w:rStyle w:val="Hyperlink"/>
            <w:rFonts w:cs="Arial"/>
            <w:color w:val="auto"/>
            <w:szCs w:val="22"/>
            <w:u w:val="none"/>
          </w:rPr>
          <w:t>Leukemia.</w:t>
        </w:r>
      </w:hyperlink>
      <w:r w:rsidRPr="00A3122A">
        <w:rPr>
          <w:rFonts w:cs="Arial"/>
          <w:szCs w:val="22"/>
        </w:rPr>
        <w:t xml:space="preserve"> 2013 Aug;27(8):1659-65.  PMCID: PMC3740398.</w:t>
      </w:r>
    </w:p>
    <w:p w14:paraId="299832BC" w14:textId="77777777" w:rsidR="00BB5B75" w:rsidRPr="003C5C21" w:rsidRDefault="00BB5B75" w:rsidP="003C5C21">
      <w:pPr>
        <w:autoSpaceDE/>
        <w:autoSpaceDN/>
        <w:ind w:left="360" w:hanging="360"/>
        <w:jc w:val="both"/>
        <w:rPr>
          <w:rFonts w:cs="Arial"/>
          <w:sz w:val="12"/>
          <w:szCs w:val="12"/>
        </w:rPr>
      </w:pPr>
    </w:p>
    <w:p w14:paraId="2C23F12C" w14:textId="77777777" w:rsidR="003C5C21" w:rsidRPr="003C5C21" w:rsidRDefault="003C5C21" w:rsidP="003C5C21">
      <w:pPr>
        <w:pStyle w:val="ListParagraph"/>
        <w:tabs>
          <w:tab w:val="left" w:pos="540"/>
        </w:tabs>
        <w:autoSpaceDE/>
        <w:autoSpaceDN/>
        <w:ind w:left="0" w:firstLine="360"/>
        <w:jc w:val="both"/>
        <w:rPr>
          <w:rFonts w:cs="Arial"/>
          <w:color w:val="000000"/>
          <w:sz w:val="12"/>
          <w:szCs w:val="12"/>
        </w:rPr>
      </w:pPr>
    </w:p>
    <w:p w14:paraId="0311EFD4" w14:textId="468D0EFF" w:rsidR="009E294F" w:rsidRPr="00AF6464" w:rsidRDefault="00C00F42" w:rsidP="003C5C21">
      <w:pPr>
        <w:pStyle w:val="Heading2"/>
        <w:spacing w:before="0"/>
        <w:rPr>
          <w:color w:val="0000FF"/>
        </w:rPr>
      </w:pPr>
      <w:r w:rsidRPr="009432D9">
        <w:t xml:space="preserve">Complete List of </w:t>
      </w:r>
      <w:r w:rsidR="004F644D">
        <w:t>8</w:t>
      </w:r>
      <w:r w:rsidR="00B902BB">
        <w:t>5</w:t>
      </w:r>
      <w:r w:rsidR="00AF6464" w:rsidRPr="009432D9">
        <w:t xml:space="preserve"> peer-review Miklos publications:</w:t>
      </w:r>
    </w:p>
    <w:p w14:paraId="622A3EE7" w14:textId="35A35005" w:rsidR="009E294F" w:rsidRPr="003C5C21" w:rsidRDefault="00454A57" w:rsidP="003C5C21">
      <w:hyperlink r:id="rId14" w:history="1">
        <w:r w:rsidR="009E294F" w:rsidRPr="003C5C21">
          <w:rPr>
            <w:rStyle w:val="Hyperlink"/>
          </w:rPr>
          <w:t>http://www.ncbi.nlm.nih.gov/pubmed/?term=Miklos%2C+David+B</w:t>
        </w:r>
      </w:hyperlink>
    </w:p>
    <w:p w14:paraId="6DD29A47" w14:textId="77777777" w:rsidR="003D0637" w:rsidRPr="009E294F" w:rsidRDefault="003D0637" w:rsidP="009E294F"/>
    <w:p w14:paraId="528DA34E" w14:textId="7193E761" w:rsidR="00641FD8" w:rsidRPr="009432D9" w:rsidRDefault="00641FD8" w:rsidP="009432D9">
      <w:pPr>
        <w:autoSpaceDE/>
        <w:autoSpaceDN/>
        <w:rPr>
          <w:rStyle w:val="clsstaticdata1"/>
          <w:b/>
          <w:color w:val="auto"/>
          <w:sz w:val="22"/>
          <w:szCs w:val="22"/>
        </w:rPr>
      </w:pPr>
      <w:r w:rsidRPr="00B77729">
        <w:rPr>
          <w:rFonts w:cs="Arial"/>
          <w:szCs w:val="22"/>
        </w:rPr>
        <w:t>D. Research Support</w:t>
      </w:r>
    </w:p>
    <w:p w14:paraId="057BF42C" w14:textId="555DF045" w:rsidR="00BB5B75" w:rsidRPr="00A3122A" w:rsidRDefault="00BB5B75" w:rsidP="00641FD8">
      <w:pPr>
        <w:tabs>
          <w:tab w:val="left" w:pos="5760"/>
          <w:tab w:val="left" w:pos="8640"/>
          <w:tab w:val="right" w:pos="10800"/>
        </w:tabs>
        <w:jc w:val="both"/>
        <w:rPr>
          <w:rStyle w:val="clsstaticdata1"/>
          <w:sz w:val="12"/>
          <w:szCs w:val="12"/>
        </w:rPr>
      </w:pPr>
    </w:p>
    <w:p w14:paraId="0FD759DE" w14:textId="6A7BD0B8" w:rsidR="00BB5B75" w:rsidRPr="00B77729" w:rsidRDefault="00BB5B75" w:rsidP="00641FD8">
      <w:pPr>
        <w:tabs>
          <w:tab w:val="left" w:pos="5760"/>
          <w:tab w:val="left" w:pos="8640"/>
          <w:tab w:val="right" w:pos="10800"/>
        </w:tabs>
        <w:jc w:val="both"/>
        <w:rPr>
          <w:rStyle w:val="clsstaticdata1"/>
          <w:b/>
          <w:sz w:val="22"/>
          <w:szCs w:val="22"/>
        </w:rPr>
      </w:pPr>
      <w:r w:rsidRPr="00B77729">
        <w:rPr>
          <w:rStyle w:val="clsstaticdata1"/>
          <w:b/>
          <w:sz w:val="22"/>
          <w:szCs w:val="22"/>
        </w:rPr>
        <w:t xml:space="preserve">Ongoing Research Support </w:t>
      </w:r>
    </w:p>
    <w:p w14:paraId="2B031842" w14:textId="77777777" w:rsidR="00BB5B75" w:rsidRPr="00A3122A" w:rsidRDefault="00BB5B75" w:rsidP="00641FD8">
      <w:pPr>
        <w:tabs>
          <w:tab w:val="left" w:pos="5760"/>
          <w:tab w:val="left" w:pos="8640"/>
          <w:tab w:val="right" w:pos="10800"/>
        </w:tabs>
        <w:jc w:val="both"/>
        <w:rPr>
          <w:rStyle w:val="clsstaticdata1"/>
          <w:sz w:val="12"/>
          <w:szCs w:val="12"/>
        </w:rPr>
      </w:pPr>
    </w:p>
    <w:p w14:paraId="5F076742" w14:textId="034A5B26" w:rsidR="00961B6B" w:rsidRPr="00FC4AED" w:rsidRDefault="00961B6B" w:rsidP="00961B6B">
      <w:pPr>
        <w:pStyle w:val="references"/>
        <w:tabs>
          <w:tab w:val="left" w:pos="5400"/>
          <w:tab w:val="left" w:pos="5760"/>
          <w:tab w:val="left" w:pos="7560"/>
          <w:tab w:val="left" w:pos="8640"/>
        </w:tabs>
        <w:jc w:val="both"/>
        <w:rPr>
          <w:rFonts w:ascii="Arial" w:hAnsi="Arial" w:cs="Arial"/>
          <w:sz w:val="22"/>
          <w:szCs w:val="22"/>
        </w:rPr>
      </w:pPr>
      <w:r w:rsidRPr="00FC4AED">
        <w:rPr>
          <w:rFonts w:ascii="Arial" w:hAnsi="Arial" w:cs="Arial"/>
          <w:sz w:val="22"/>
          <w:szCs w:val="22"/>
        </w:rPr>
        <w:t xml:space="preserve">P01 CA049605 </w:t>
      </w:r>
      <w:proofErr w:type="gramStart"/>
      <w:r w:rsidRPr="00FC4AED">
        <w:rPr>
          <w:rFonts w:ascii="Arial" w:hAnsi="Arial" w:cs="Arial"/>
          <w:sz w:val="22"/>
          <w:szCs w:val="22"/>
        </w:rPr>
        <w:t xml:space="preserve">   (</w:t>
      </w:r>
      <w:proofErr w:type="gramEnd"/>
      <w:r w:rsidRPr="00FC4AED">
        <w:rPr>
          <w:rFonts w:ascii="Arial" w:hAnsi="Arial" w:cs="Arial"/>
          <w:sz w:val="22"/>
          <w:szCs w:val="22"/>
        </w:rPr>
        <w:t>Negrin</w:t>
      </w:r>
      <w:r>
        <w:rPr>
          <w:rFonts w:ascii="Arial" w:hAnsi="Arial" w:cs="Arial"/>
          <w:sz w:val="22"/>
          <w:szCs w:val="22"/>
        </w:rPr>
        <w:t xml:space="preserve"> PI)</w:t>
      </w:r>
      <w:r w:rsidRPr="00FC4AED">
        <w:rPr>
          <w:rFonts w:ascii="Arial" w:hAnsi="Arial" w:cs="Arial"/>
          <w:sz w:val="22"/>
          <w:szCs w:val="22"/>
        </w:rPr>
        <w:tab/>
      </w:r>
      <w:r w:rsidRPr="00FC4AED">
        <w:rPr>
          <w:rFonts w:ascii="Arial" w:hAnsi="Arial" w:cs="Arial"/>
          <w:sz w:val="22"/>
          <w:szCs w:val="22"/>
        </w:rPr>
        <w:tab/>
        <w:t>4/15/1989 – 8/31/2024</w:t>
      </w:r>
      <w:r w:rsidRPr="00FC4AED">
        <w:rPr>
          <w:rFonts w:ascii="Arial" w:hAnsi="Arial" w:cs="Arial"/>
          <w:sz w:val="22"/>
          <w:szCs w:val="22"/>
        </w:rPr>
        <w:tab/>
      </w:r>
    </w:p>
    <w:p w14:paraId="3A112C0A" w14:textId="67D405E1" w:rsidR="00961B6B" w:rsidRPr="00FC4AED" w:rsidRDefault="00961B6B" w:rsidP="00961B6B">
      <w:pPr>
        <w:tabs>
          <w:tab w:val="left" w:pos="5760"/>
          <w:tab w:val="left" w:pos="8640"/>
        </w:tabs>
        <w:ind w:left="360" w:hanging="360"/>
        <w:jc w:val="both"/>
        <w:rPr>
          <w:rFonts w:cs="Arial"/>
          <w:szCs w:val="22"/>
        </w:rPr>
      </w:pPr>
      <w:r w:rsidRPr="00FC4AED">
        <w:rPr>
          <w:rFonts w:cs="Arial"/>
          <w:szCs w:val="22"/>
        </w:rPr>
        <w:t>National Institutes of Health</w:t>
      </w:r>
      <w:r>
        <w:rPr>
          <w:rFonts w:cs="Arial"/>
          <w:szCs w:val="22"/>
        </w:rPr>
        <w:t xml:space="preserve"> - NCI</w:t>
      </w:r>
      <w:r w:rsidRPr="00FC4AED">
        <w:rPr>
          <w:rFonts w:cs="Arial"/>
          <w:szCs w:val="22"/>
        </w:rPr>
        <w:tab/>
      </w:r>
    </w:p>
    <w:p w14:paraId="3FD34609" w14:textId="77777777" w:rsidR="00961B6B" w:rsidRPr="00FC4AED" w:rsidRDefault="00961B6B" w:rsidP="00961B6B">
      <w:pPr>
        <w:tabs>
          <w:tab w:val="left" w:pos="5760"/>
          <w:tab w:val="left" w:pos="8640"/>
        </w:tabs>
        <w:ind w:left="360" w:hanging="360"/>
        <w:jc w:val="both"/>
        <w:rPr>
          <w:rFonts w:cs="Arial"/>
          <w:szCs w:val="22"/>
        </w:rPr>
      </w:pPr>
      <w:r w:rsidRPr="00FC4AED">
        <w:rPr>
          <w:rFonts w:cs="Arial"/>
          <w:szCs w:val="22"/>
        </w:rPr>
        <w:t>Bone Marrow Grafting and Cellular Therapy for Leukemia and Lymphoma</w:t>
      </w:r>
    </w:p>
    <w:p w14:paraId="2732AF46" w14:textId="1C6407FC" w:rsidR="00961B6B" w:rsidRPr="00FC4AED" w:rsidRDefault="00961B6B" w:rsidP="00961B6B">
      <w:pPr>
        <w:tabs>
          <w:tab w:val="left" w:pos="5760"/>
          <w:tab w:val="left" w:pos="8640"/>
        </w:tabs>
        <w:ind w:left="360" w:hanging="360"/>
        <w:jc w:val="both"/>
        <w:rPr>
          <w:rFonts w:cs="Arial"/>
          <w:szCs w:val="22"/>
        </w:rPr>
      </w:pPr>
      <w:r w:rsidRPr="00FC4AED">
        <w:rPr>
          <w:rFonts w:cs="Arial"/>
          <w:szCs w:val="22"/>
        </w:rPr>
        <w:t>Project: Project 4 (Mackall</w:t>
      </w:r>
      <w:r>
        <w:rPr>
          <w:rFonts w:cs="Arial"/>
          <w:szCs w:val="22"/>
        </w:rPr>
        <w:t xml:space="preserve"> project leader</w:t>
      </w:r>
      <w:r w:rsidRPr="00FC4AED">
        <w:rPr>
          <w:rFonts w:cs="Arial"/>
          <w:szCs w:val="22"/>
        </w:rPr>
        <w:t>)</w:t>
      </w:r>
    </w:p>
    <w:p w14:paraId="5E7AC866" w14:textId="77777777" w:rsidR="00961B6B" w:rsidRPr="00FC4AED" w:rsidRDefault="00961B6B" w:rsidP="00961B6B">
      <w:pPr>
        <w:tabs>
          <w:tab w:val="left" w:pos="5760"/>
          <w:tab w:val="left" w:pos="8640"/>
        </w:tabs>
        <w:ind w:left="360" w:hanging="360"/>
        <w:jc w:val="both"/>
        <w:rPr>
          <w:rFonts w:cs="Arial"/>
          <w:szCs w:val="22"/>
        </w:rPr>
      </w:pPr>
      <w:r w:rsidRPr="00FC4AED">
        <w:rPr>
          <w:rFonts w:cs="Arial"/>
          <w:szCs w:val="22"/>
        </w:rPr>
        <w:t>Goals: Enhance the Efficacy of Chimeric Antigen Receptor Therapy for B-ALL and DLBCL</w:t>
      </w:r>
    </w:p>
    <w:p w14:paraId="4FB8E7F1" w14:textId="04527CE6" w:rsidR="00961B6B" w:rsidRDefault="00961B6B" w:rsidP="00CD0771">
      <w:pPr>
        <w:tabs>
          <w:tab w:val="left" w:pos="720"/>
          <w:tab w:val="left" w:pos="1440"/>
          <w:tab w:val="left" w:pos="2160"/>
          <w:tab w:val="left" w:pos="2880"/>
          <w:tab w:val="left" w:pos="5760"/>
          <w:tab w:val="left" w:pos="7200"/>
          <w:tab w:val="left" w:pos="8640"/>
        </w:tabs>
        <w:jc w:val="both"/>
        <w:rPr>
          <w:rFonts w:cs="Arial"/>
          <w:szCs w:val="22"/>
        </w:rPr>
      </w:pPr>
      <w:r>
        <w:rPr>
          <w:rFonts w:cs="Arial"/>
          <w:szCs w:val="22"/>
        </w:rPr>
        <w:t>Role: Co-PI project 4</w:t>
      </w:r>
    </w:p>
    <w:p w14:paraId="6B8E2F29" w14:textId="2139A684" w:rsidR="00961B6B" w:rsidRDefault="00961B6B" w:rsidP="00CD0771">
      <w:pPr>
        <w:tabs>
          <w:tab w:val="left" w:pos="720"/>
          <w:tab w:val="left" w:pos="1440"/>
          <w:tab w:val="left" w:pos="2160"/>
          <w:tab w:val="left" w:pos="2880"/>
          <w:tab w:val="left" w:pos="5760"/>
          <w:tab w:val="left" w:pos="7200"/>
          <w:tab w:val="left" w:pos="8640"/>
        </w:tabs>
        <w:jc w:val="both"/>
        <w:rPr>
          <w:rFonts w:cs="Arial"/>
          <w:szCs w:val="22"/>
        </w:rPr>
      </w:pPr>
    </w:p>
    <w:p w14:paraId="698E9663" w14:textId="344FD2FC" w:rsidR="00961B6B" w:rsidRPr="002F3506" w:rsidRDefault="00961B6B" w:rsidP="00961B6B">
      <w:pPr>
        <w:tabs>
          <w:tab w:val="left" w:pos="5760"/>
          <w:tab w:val="left" w:pos="8640"/>
        </w:tabs>
        <w:jc w:val="both"/>
        <w:rPr>
          <w:rFonts w:cs="Arial"/>
          <w:szCs w:val="22"/>
        </w:rPr>
      </w:pPr>
      <w:r w:rsidRPr="002F3506">
        <w:rPr>
          <w:rFonts w:cs="Arial"/>
          <w:szCs w:val="22"/>
        </w:rPr>
        <w:t xml:space="preserve">Kite Pharmaceuticals   Miklos (PI) </w:t>
      </w:r>
      <w:r w:rsidRPr="002F3506">
        <w:rPr>
          <w:rFonts w:cs="Arial"/>
          <w:szCs w:val="22"/>
        </w:rPr>
        <w:tab/>
      </w:r>
      <w:r>
        <w:rPr>
          <w:rFonts w:cs="Arial"/>
          <w:szCs w:val="22"/>
        </w:rPr>
        <w:t>5/1/2020 – 4/30/2022</w:t>
      </w:r>
    </w:p>
    <w:p w14:paraId="1E2C4A6E" w14:textId="77777777" w:rsidR="00961B6B" w:rsidRPr="002F3506" w:rsidRDefault="00961B6B" w:rsidP="00961B6B">
      <w:pPr>
        <w:tabs>
          <w:tab w:val="left" w:pos="5760"/>
          <w:tab w:val="left" w:pos="8640"/>
        </w:tabs>
        <w:jc w:val="both"/>
        <w:rPr>
          <w:rFonts w:cs="Arial"/>
          <w:szCs w:val="22"/>
        </w:rPr>
      </w:pPr>
      <w:r w:rsidRPr="002F3506">
        <w:rPr>
          <w:rFonts w:cs="Arial"/>
          <w:szCs w:val="22"/>
        </w:rPr>
        <w:t>Kite Pharmaceuticals</w:t>
      </w:r>
    </w:p>
    <w:p w14:paraId="73C8555B" w14:textId="2FB56B57" w:rsidR="00961B6B" w:rsidRDefault="00961B6B" w:rsidP="00961B6B">
      <w:pPr>
        <w:tabs>
          <w:tab w:val="left" w:pos="5760"/>
          <w:tab w:val="left" w:pos="8640"/>
        </w:tabs>
        <w:spacing w:after="120"/>
        <w:jc w:val="both"/>
        <w:rPr>
          <w:rFonts w:cs="Arial"/>
          <w:szCs w:val="22"/>
        </w:rPr>
      </w:pPr>
      <w:r>
        <w:rPr>
          <w:rFonts w:cs="Arial"/>
          <w:szCs w:val="22"/>
        </w:rPr>
        <w:t xml:space="preserve">Identification of </w:t>
      </w:r>
      <w:proofErr w:type="spellStart"/>
      <w:r>
        <w:rPr>
          <w:rFonts w:cs="Arial"/>
          <w:szCs w:val="22"/>
        </w:rPr>
        <w:t>Axi-Cel</w:t>
      </w:r>
      <w:proofErr w:type="spellEnd"/>
      <w:r>
        <w:rPr>
          <w:rFonts w:cs="Arial"/>
          <w:szCs w:val="22"/>
        </w:rPr>
        <w:t xml:space="preserve"> Expressing T cells in Lymph node and Blood Samples</w:t>
      </w:r>
    </w:p>
    <w:p w14:paraId="64199BD9" w14:textId="0A76347D" w:rsidR="00961B6B" w:rsidRPr="002F3506" w:rsidRDefault="00961B6B" w:rsidP="00961B6B">
      <w:pPr>
        <w:tabs>
          <w:tab w:val="left" w:pos="5760"/>
          <w:tab w:val="left" w:pos="8640"/>
        </w:tabs>
        <w:spacing w:after="120"/>
        <w:jc w:val="both"/>
        <w:rPr>
          <w:rFonts w:cs="Arial"/>
          <w:szCs w:val="22"/>
        </w:rPr>
      </w:pPr>
      <w:r w:rsidRPr="002F3506">
        <w:rPr>
          <w:rFonts w:cs="Arial"/>
          <w:szCs w:val="22"/>
        </w:rPr>
        <w:t>Role: PI</w:t>
      </w:r>
    </w:p>
    <w:p w14:paraId="3BB5CF0D" w14:textId="77777777" w:rsidR="00961B6B" w:rsidRDefault="00961B6B" w:rsidP="00CD0771">
      <w:pPr>
        <w:tabs>
          <w:tab w:val="left" w:pos="720"/>
          <w:tab w:val="left" w:pos="1440"/>
          <w:tab w:val="left" w:pos="2160"/>
          <w:tab w:val="left" w:pos="2880"/>
          <w:tab w:val="left" w:pos="5760"/>
          <w:tab w:val="left" w:pos="7200"/>
          <w:tab w:val="left" w:pos="8640"/>
        </w:tabs>
        <w:jc w:val="both"/>
        <w:rPr>
          <w:rFonts w:cs="Arial"/>
          <w:szCs w:val="22"/>
        </w:rPr>
      </w:pPr>
    </w:p>
    <w:p w14:paraId="20733E47" w14:textId="0E423EB1" w:rsidR="00CD0771" w:rsidRPr="002F3506" w:rsidRDefault="00CD0771" w:rsidP="00CD0771">
      <w:pPr>
        <w:tabs>
          <w:tab w:val="left" w:pos="720"/>
          <w:tab w:val="left" w:pos="1440"/>
          <w:tab w:val="left" w:pos="2160"/>
          <w:tab w:val="left" w:pos="2880"/>
          <w:tab w:val="left" w:pos="5760"/>
          <w:tab w:val="left" w:pos="7200"/>
          <w:tab w:val="left" w:pos="8640"/>
        </w:tabs>
        <w:jc w:val="both"/>
        <w:rPr>
          <w:rFonts w:cs="Arial"/>
          <w:szCs w:val="22"/>
        </w:rPr>
      </w:pPr>
      <w:r w:rsidRPr="002F3506">
        <w:rPr>
          <w:rFonts w:cs="Arial"/>
          <w:szCs w:val="22"/>
        </w:rPr>
        <w:t>PCYC-1140IM</w:t>
      </w:r>
      <w:r w:rsidRPr="002F3506">
        <w:rPr>
          <w:rFonts w:cs="Arial"/>
          <w:szCs w:val="22"/>
        </w:rPr>
        <w:tab/>
        <w:t xml:space="preserve">    Miklos (PI)</w:t>
      </w:r>
      <w:r w:rsidRPr="002F3506">
        <w:rPr>
          <w:rFonts w:cs="Arial"/>
          <w:szCs w:val="22"/>
        </w:rPr>
        <w:tab/>
      </w:r>
      <w:r w:rsidRPr="002F3506">
        <w:rPr>
          <w:rFonts w:cs="Arial"/>
          <w:szCs w:val="22"/>
        </w:rPr>
        <w:tab/>
        <w:t>1</w:t>
      </w:r>
      <w:r w:rsidR="002F3506" w:rsidRPr="002F3506">
        <w:rPr>
          <w:rFonts w:cs="Arial"/>
          <w:szCs w:val="22"/>
        </w:rPr>
        <w:t>2/01/16-11/30/</w:t>
      </w:r>
      <w:r w:rsidR="00961B6B">
        <w:rPr>
          <w:rFonts w:cs="Arial"/>
          <w:szCs w:val="22"/>
        </w:rPr>
        <w:t>22</w:t>
      </w:r>
    </w:p>
    <w:p w14:paraId="0028DD6C" w14:textId="131D47A3" w:rsidR="00CD0771" w:rsidRPr="002F3506" w:rsidRDefault="002F3506" w:rsidP="00CD0771">
      <w:pPr>
        <w:tabs>
          <w:tab w:val="left" w:pos="720"/>
          <w:tab w:val="left" w:pos="1440"/>
          <w:tab w:val="left" w:pos="2160"/>
          <w:tab w:val="left" w:pos="2880"/>
          <w:tab w:val="left" w:pos="5760"/>
          <w:tab w:val="left" w:pos="7200"/>
          <w:tab w:val="left" w:pos="8640"/>
        </w:tabs>
        <w:jc w:val="both"/>
        <w:rPr>
          <w:rFonts w:cs="Arial"/>
          <w:szCs w:val="22"/>
        </w:rPr>
      </w:pPr>
      <w:r w:rsidRPr="002F3506">
        <w:rPr>
          <w:rFonts w:cs="Arial"/>
          <w:szCs w:val="22"/>
        </w:rPr>
        <w:t>Pharmacyclics, Inc</w:t>
      </w:r>
      <w:r w:rsidRPr="002F3506">
        <w:rPr>
          <w:rFonts w:cs="Arial"/>
          <w:szCs w:val="22"/>
        </w:rPr>
        <w:tab/>
      </w:r>
      <w:r w:rsidRPr="002F3506">
        <w:rPr>
          <w:rFonts w:cs="Arial"/>
          <w:szCs w:val="22"/>
        </w:rPr>
        <w:tab/>
      </w:r>
    </w:p>
    <w:p w14:paraId="3AC3317B" w14:textId="77777777" w:rsidR="00CD0771" w:rsidRPr="002F3506" w:rsidRDefault="00CD0771" w:rsidP="00CD0771">
      <w:pPr>
        <w:tabs>
          <w:tab w:val="left" w:pos="720"/>
          <w:tab w:val="left" w:pos="1440"/>
          <w:tab w:val="left" w:pos="2160"/>
          <w:tab w:val="left" w:pos="2880"/>
          <w:tab w:val="left" w:pos="5760"/>
          <w:tab w:val="left" w:pos="7200"/>
          <w:tab w:val="left" w:pos="8640"/>
        </w:tabs>
        <w:jc w:val="both"/>
        <w:rPr>
          <w:rFonts w:cs="Arial"/>
          <w:szCs w:val="22"/>
        </w:rPr>
      </w:pPr>
      <w:r w:rsidRPr="002F3506">
        <w:rPr>
          <w:rFonts w:cs="Arial"/>
          <w:szCs w:val="22"/>
        </w:rPr>
        <w:t>Work Order number 19578, Ibrutinib trial</w:t>
      </w:r>
    </w:p>
    <w:p w14:paraId="6D4E0CD4" w14:textId="77777777" w:rsidR="00CD0771" w:rsidRPr="002F3506" w:rsidRDefault="00CD0771" w:rsidP="00CD0771">
      <w:pPr>
        <w:tabs>
          <w:tab w:val="left" w:pos="720"/>
          <w:tab w:val="left" w:pos="1440"/>
          <w:tab w:val="left" w:pos="2160"/>
          <w:tab w:val="left" w:pos="2880"/>
          <w:tab w:val="left" w:pos="5760"/>
          <w:tab w:val="left" w:pos="7200"/>
          <w:tab w:val="left" w:pos="8640"/>
        </w:tabs>
        <w:jc w:val="both"/>
        <w:rPr>
          <w:rFonts w:cs="Arial"/>
          <w:szCs w:val="22"/>
        </w:rPr>
      </w:pPr>
      <w:r w:rsidRPr="002F3506">
        <w:rPr>
          <w:rFonts w:cs="Arial"/>
          <w:szCs w:val="22"/>
        </w:rPr>
        <w:lastRenderedPageBreak/>
        <w:t>A Randomized, Double-Blind Phase 3 Study of Ibrutinib in</w:t>
      </w:r>
    </w:p>
    <w:p w14:paraId="664F24BD" w14:textId="77777777" w:rsidR="00CD0771" w:rsidRPr="002F3506" w:rsidRDefault="00CD0771" w:rsidP="00CD0771">
      <w:pPr>
        <w:tabs>
          <w:tab w:val="left" w:pos="720"/>
          <w:tab w:val="left" w:pos="1440"/>
          <w:tab w:val="left" w:pos="2160"/>
          <w:tab w:val="left" w:pos="2880"/>
          <w:tab w:val="left" w:pos="5760"/>
          <w:tab w:val="left" w:pos="7200"/>
          <w:tab w:val="left" w:pos="8640"/>
        </w:tabs>
        <w:jc w:val="both"/>
        <w:rPr>
          <w:rFonts w:cs="Arial"/>
          <w:szCs w:val="22"/>
        </w:rPr>
      </w:pPr>
      <w:r w:rsidRPr="002F3506">
        <w:rPr>
          <w:rFonts w:cs="Arial"/>
          <w:szCs w:val="22"/>
        </w:rPr>
        <w:t xml:space="preserve">Combination </w:t>
      </w:r>
      <w:proofErr w:type="gramStart"/>
      <w:r w:rsidRPr="002F3506">
        <w:rPr>
          <w:rFonts w:cs="Arial"/>
          <w:szCs w:val="22"/>
        </w:rPr>
        <w:t>With</w:t>
      </w:r>
      <w:proofErr w:type="gramEnd"/>
      <w:r w:rsidRPr="002F3506">
        <w:rPr>
          <w:rFonts w:cs="Arial"/>
          <w:szCs w:val="22"/>
        </w:rPr>
        <w:t xml:space="preserve"> Corticosteroids versus Placebo in Combination With Corticosteroids in Subjects with New Onset Chronic Graft Versus Host Disease (cGVHD)</w:t>
      </w:r>
    </w:p>
    <w:p w14:paraId="35372A72" w14:textId="491CC50B" w:rsidR="00CD0771" w:rsidRPr="002F3506" w:rsidRDefault="00CD0771" w:rsidP="00C111C1">
      <w:pPr>
        <w:tabs>
          <w:tab w:val="left" w:pos="720"/>
          <w:tab w:val="left" w:pos="1440"/>
          <w:tab w:val="left" w:pos="2160"/>
          <w:tab w:val="left" w:pos="2880"/>
          <w:tab w:val="left" w:pos="5760"/>
          <w:tab w:val="left" w:pos="7200"/>
          <w:tab w:val="left" w:pos="8640"/>
        </w:tabs>
        <w:spacing w:after="120"/>
        <w:jc w:val="both"/>
        <w:rPr>
          <w:rFonts w:cs="Arial"/>
          <w:szCs w:val="22"/>
        </w:rPr>
      </w:pPr>
      <w:r w:rsidRPr="002F3506">
        <w:rPr>
          <w:rFonts w:cs="Arial"/>
          <w:szCs w:val="22"/>
        </w:rPr>
        <w:t>Role: PI</w:t>
      </w:r>
    </w:p>
    <w:p w14:paraId="59FD9A5C" w14:textId="0B623984" w:rsidR="00CD0771" w:rsidRPr="002F3506" w:rsidRDefault="00CD0771" w:rsidP="00CD0771">
      <w:pPr>
        <w:tabs>
          <w:tab w:val="left" w:pos="5760"/>
          <w:tab w:val="left" w:pos="8640"/>
        </w:tabs>
        <w:jc w:val="both"/>
        <w:rPr>
          <w:rFonts w:cs="Arial"/>
          <w:szCs w:val="22"/>
        </w:rPr>
      </w:pPr>
      <w:bookmarkStart w:id="2" w:name="_Hlk40869236"/>
      <w:r w:rsidRPr="002F3506">
        <w:rPr>
          <w:rFonts w:cs="Arial"/>
          <w:szCs w:val="22"/>
        </w:rPr>
        <w:t xml:space="preserve">Kite Pharmaceuticals   Miklos (PI) </w:t>
      </w:r>
      <w:r w:rsidRPr="002F3506">
        <w:rPr>
          <w:rFonts w:cs="Arial"/>
          <w:szCs w:val="22"/>
        </w:rPr>
        <w:tab/>
        <w:t>08/19/15-07/31/</w:t>
      </w:r>
      <w:r w:rsidR="00454A57">
        <w:rPr>
          <w:rFonts w:cs="Arial"/>
          <w:szCs w:val="22"/>
        </w:rPr>
        <w:t>25</w:t>
      </w:r>
    </w:p>
    <w:p w14:paraId="7117B2A1" w14:textId="497A69D2" w:rsidR="00CD0771" w:rsidRPr="002F3506" w:rsidRDefault="00CD0771" w:rsidP="00CD0771">
      <w:pPr>
        <w:tabs>
          <w:tab w:val="left" w:pos="5760"/>
          <w:tab w:val="left" w:pos="8640"/>
        </w:tabs>
        <w:jc w:val="both"/>
        <w:rPr>
          <w:rFonts w:cs="Arial"/>
          <w:szCs w:val="22"/>
        </w:rPr>
      </w:pPr>
      <w:r w:rsidRPr="002F3506">
        <w:rPr>
          <w:rFonts w:cs="Arial"/>
          <w:szCs w:val="22"/>
        </w:rPr>
        <w:t>Kite Pharmaceuticals</w:t>
      </w:r>
    </w:p>
    <w:p w14:paraId="352CCA51" w14:textId="77777777" w:rsidR="00CD0771" w:rsidRPr="002F3506" w:rsidRDefault="00CD0771" w:rsidP="00CD0771">
      <w:pPr>
        <w:tabs>
          <w:tab w:val="left" w:pos="5760"/>
          <w:tab w:val="left" w:pos="8640"/>
        </w:tabs>
        <w:jc w:val="both"/>
        <w:rPr>
          <w:rFonts w:cs="Arial"/>
          <w:szCs w:val="22"/>
        </w:rPr>
      </w:pPr>
      <w:r w:rsidRPr="002F3506">
        <w:rPr>
          <w:rFonts w:cs="Arial"/>
          <w:szCs w:val="22"/>
        </w:rPr>
        <w:t>ZUMA1 Phase 1b/II study of anti-CD19 chimeric antigen receptor T cell therapy for refractory diffuse large cell lymphoma (DLCL)</w:t>
      </w:r>
    </w:p>
    <w:p w14:paraId="2F590D23" w14:textId="09C1B00D" w:rsidR="00CD0771" w:rsidRPr="002F3506" w:rsidRDefault="00CD0771" w:rsidP="00C111C1">
      <w:pPr>
        <w:tabs>
          <w:tab w:val="left" w:pos="5760"/>
          <w:tab w:val="left" w:pos="8640"/>
        </w:tabs>
        <w:spacing w:after="120"/>
        <w:jc w:val="both"/>
        <w:rPr>
          <w:rFonts w:cs="Arial"/>
          <w:szCs w:val="22"/>
        </w:rPr>
      </w:pPr>
      <w:r w:rsidRPr="002F3506">
        <w:rPr>
          <w:rFonts w:cs="Arial"/>
          <w:szCs w:val="22"/>
        </w:rPr>
        <w:t>Role: PI</w:t>
      </w:r>
    </w:p>
    <w:bookmarkEnd w:id="2"/>
    <w:p w14:paraId="0659BBD4" w14:textId="67C5C40C" w:rsidR="00CD0771" w:rsidRPr="002F3506" w:rsidRDefault="00CD0771" w:rsidP="00CD0771">
      <w:pPr>
        <w:tabs>
          <w:tab w:val="left" w:pos="5760"/>
          <w:tab w:val="left" w:pos="8640"/>
        </w:tabs>
        <w:jc w:val="both"/>
        <w:rPr>
          <w:rFonts w:cs="Arial"/>
          <w:szCs w:val="22"/>
        </w:rPr>
      </w:pPr>
      <w:r w:rsidRPr="002F3506">
        <w:rPr>
          <w:rFonts w:cs="Arial"/>
          <w:szCs w:val="22"/>
        </w:rPr>
        <w:t>Kite Pharmaceuticals    Miklos (PI)</w:t>
      </w:r>
      <w:r w:rsidRPr="002F3506">
        <w:rPr>
          <w:rFonts w:cs="Arial"/>
          <w:szCs w:val="22"/>
        </w:rPr>
        <w:tab/>
        <w:t>10/20/16 -09/30/21</w:t>
      </w:r>
    </w:p>
    <w:p w14:paraId="3B876BC3" w14:textId="15D147ED" w:rsidR="00CD0771" w:rsidRPr="002F3506" w:rsidRDefault="00CD0771" w:rsidP="00CD0771">
      <w:pPr>
        <w:tabs>
          <w:tab w:val="left" w:pos="5760"/>
          <w:tab w:val="left" w:pos="8640"/>
        </w:tabs>
        <w:jc w:val="both"/>
        <w:rPr>
          <w:rFonts w:cs="Arial"/>
          <w:szCs w:val="22"/>
        </w:rPr>
      </w:pPr>
      <w:r w:rsidRPr="002F3506">
        <w:rPr>
          <w:rFonts w:cs="Arial"/>
          <w:szCs w:val="22"/>
        </w:rPr>
        <w:t>Kite Pharmaceuticals</w:t>
      </w:r>
    </w:p>
    <w:p w14:paraId="553DF713" w14:textId="77777777" w:rsidR="00CD0771" w:rsidRPr="002F3506" w:rsidRDefault="00CD0771" w:rsidP="00CD0771">
      <w:pPr>
        <w:tabs>
          <w:tab w:val="left" w:pos="5760"/>
          <w:tab w:val="left" w:pos="8640"/>
        </w:tabs>
        <w:jc w:val="both"/>
        <w:rPr>
          <w:rFonts w:cs="Arial"/>
          <w:szCs w:val="22"/>
        </w:rPr>
      </w:pPr>
      <w:r w:rsidRPr="002F3506">
        <w:rPr>
          <w:rFonts w:cs="Arial"/>
          <w:szCs w:val="22"/>
        </w:rPr>
        <w:t>ZUMA6 Phase 1b/II study of anti-CD19 chimeric antigen receptor T cell therapy and Atezolizumab for refractory diffuse large cell lymphoma (DLCL)</w:t>
      </w:r>
    </w:p>
    <w:p w14:paraId="39848C9F" w14:textId="5C46F59F" w:rsidR="00CD0771" w:rsidRPr="002F3506" w:rsidRDefault="00CD0771" w:rsidP="00C111C1">
      <w:pPr>
        <w:tabs>
          <w:tab w:val="left" w:pos="5760"/>
          <w:tab w:val="left" w:pos="8640"/>
        </w:tabs>
        <w:spacing w:after="120"/>
        <w:jc w:val="both"/>
        <w:rPr>
          <w:rFonts w:cs="Arial"/>
          <w:szCs w:val="22"/>
        </w:rPr>
      </w:pPr>
      <w:r w:rsidRPr="002F3506">
        <w:rPr>
          <w:rFonts w:cs="Arial"/>
          <w:szCs w:val="22"/>
        </w:rPr>
        <w:t>Role: PI</w:t>
      </w:r>
    </w:p>
    <w:p w14:paraId="2D137299" w14:textId="4B1C9F94" w:rsidR="00CD0771" w:rsidRPr="002F3506" w:rsidRDefault="00CD0771" w:rsidP="00CD0771">
      <w:pPr>
        <w:tabs>
          <w:tab w:val="left" w:pos="5760"/>
          <w:tab w:val="left" w:pos="8640"/>
        </w:tabs>
        <w:jc w:val="both"/>
        <w:rPr>
          <w:rFonts w:cs="Arial"/>
          <w:szCs w:val="22"/>
        </w:rPr>
      </w:pPr>
      <w:r w:rsidRPr="002F3506">
        <w:rPr>
          <w:rFonts w:cs="Arial"/>
          <w:szCs w:val="22"/>
        </w:rPr>
        <w:t xml:space="preserve">Kite Pharmaceuticals    Miklos (PI) </w:t>
      </w:r>
      <w:r w:rsidRPr="002F3506">
        <w:rPr>
          <w:rFonts w:cs="Arial"/>
          <w:szCs w:val="22"/>
        </w:rPr>
        <w:tab/>
        <w:t>02/28/17-02/28/22</w:t>
      </w:r>
    </w:p>
    <w:p w14:paraId="5E203252" w14:textId="7C3DA8CE" w:rsidR="00CD0771" w:rsidRPr="002F3506" w:rsidRDefault="00CD0771" w:rsidP="00CD0771">
      <w:pPr>
        <w:tabs>
          <w:tab w:val="left" w:pos="5760"/>
          <w:tab w:val="left" w:pos="8640"/>
        </w:tabs>
        <w:jc w:val="both"/>
        <w:rPr>
          <w:rFonts w:cs="Arial"/>
          <w:szCs w:val="22"/>
        </w:rPr>
      </w:pPr>
      <w:r w:rsidRPr="002F3506">
        <w:rPr>
          <w:rFonts w:cs="Arial"/>
          <w:szCs w:val="22"/>
        </w:rPr>
        <w:t>Kite Pharmaceuticals</w:t>
      </w:r>
    </w:p>
    <w:p w14:paraId="14374C5B" w14:textId="77777777" w:rsidR="00CD0771" w:rsidRPr="002F3506" w:rsidRDefault="00CD0771" w:rsidP="00CD0771">
      <w:pPr>
        <w:tabs>
          <w:tab w:val="left" w:pos="5760"/>
          <w:tab w:val="left" w:pos="8640"/>
        </w:tabs>
        <w:jc w:val="both"/>
        <w:rPr>
          <w:rFonts w:cs="Arial"/>
          <w:szCs w:val="22"/>
        </w:rPr>
      </w:pPr>
      <w:r w:rsidRPr="002F3506">
        <w:rPr>
          <w:rFonts w:cs="Arial"/>
          <w:szCs w:val="22"/>
        </w:rPr>
        <w:t>Goals: ZUMA2: A Phase 2 Multicenter Study Evaluating the Efficacy of KTE-C19 in Subjects with Relapsed/Refractory Mantle Cell Lymphoma (r/r MCL)</w:t>
      </w:r>
    </w:p>
    <w:p w14:paraId="47025525" w14:textId="1888A017" w:rsidR="00CD0771" w:rsidRPr="002F3506" w:rsidRDefault="00CD0771" w:rsidP="00C111C1">
      <w:pPr>
        <w:tabs>
          <w:tab w:val="left" w:pos="5760"/>
          <w:tab w:val="left" w:pos="8640"/>
        </w:tabs>
        <w:spacing w:after="120"/>
        <w:jc w:val="both"/>
        <w:rPr>
          <w:rFonts w:cs="Arial"/>
          <w:szCs w:val="22"/>
        </w:rPr>
      </w:pPr>
      <w:r w:rsidRPr="002F3506">
        <w:rPr>
          <w:rFonts w:cs="Arial"/>
          <w:szCs w:val="22"/>
        </w:rPr>
        <w:t>Role: PI</w:t>
      </w:r>
    </w:p>
    <w:p w14:paraId="3F89344C" w14:textId="578128AA" w:rsidR="00CD0771" w:rsidRPr="002F3506" w:rsidRDefault="00CD0771" w:rsidP="00CD0771">
      <w:pPr>
        <w:tabs>
          <w:tab w:val="left" w:pos="5760"/>
          <w:tab w:val="left" w:pos="8640"/>
        </w:tabs>
        <w:jc w:val="both"/>
        <w:rPr>
          <w:rFonts w:cs="Arial"/>
          <w:szCs w:val="22"/>
        </w:rPr>
      </w:pPr>
      <w:r w:rsidRPr="002F3506">
        <w:rPr>
          <w:rFonts w:cs="Arial"/>
          <w:szCs w:val="22"/>
        </w:rPr>
        <w:t>Kite Pharmaceuticals    Miklos (PI)</w:t>
      </w:r>
      <w:r w:rsidRPr="002F3506">
        <w:rPr>
          <w:rFonts w:cs="Arial"/>
          <w:szCs w:val="22"/>
        </w:rPr>
        <w:tab/>
        <w:t>03/</w:t>
      </w:r>
      <w:r w:rsidR="002F3506" w:rsidRPr="002F3506">
        <w:rPr>
          <w:rFonts w:cs="Arial"/>
          <w:szCs w:val="22"/>
        </w:rPr>
        <w:t>30/18-03/31/22</w:t>
      </w:r>
    </w:p>
    <w:p w14:paraId="0DA828DF" w14:textId="633C41B0" w:rsidR="00CD0771" w:rsidRPr="002F3506" w:rsidRDefault="002F3506" w:rsidP="00CD0771">
      <w:pPr>
        <w:tabs>
          <w:tab w:val="left" w:pos="5760"/>
          <w:tab w:val="left" w:pos="8640"/>
        </w:tabs>
        <w:jc w:val="both"/>
        <w:rPr>
          <w:rFonts w:cs="Arial"/>
          <w:szCs w:val="22"/>
        </w:rPr>
      </w:pPr>
      <w:r w:rsidRPr="002F3506">
        <w:rPr>
          <w:rFonts w:cs="Arial"/>
          <w:szCs w:val="22"/>
        </w:rPr>
        <w:t>Kite Pharmaceuticals</w:t>
      </w:r>
    </w:p>
    <w:p w14:paraId="07349DA6" w14:textId="77777777" w:rsidR="00CD0771" w:rsidRPr="002F3506" w:rsidRDefault="00CD0771" w:rsidP="00CD0771">
      <w:pPr>
        <w:tabs>
          <w:tab w:val="left" w:pos="5760"/>
          <w:tab w:val="left" w:pos="8640"/>
        </w:tabs>
        <w:jc w:val="both"/>
        <w:rPr>
          <w:rFonts w:cs="Arial"/>
          <w:szCs w:val="22"/>
        </w:rPr>
      </w:pPr>
      <w:r w:rsidRPr="002F3506">
        <w:rPr>
          <w:rFonts w:cs="Arial"/>
          <w:szCs w:val="22"/>
        </w:rPr>
        <w:t>Goals:  ZUMA7:  To determine if axicabtagene ciloleucel is superior to standard of care (SOC) as measured by event-free survival (EFS), as determined by blinded central review.</w:t>
      </w:r>
    </w:p>
    <w:p w14:paraId="0890AA59" w14:textId="77777777" w:rsidR="00CD0771" w:rsidRPr="002F3506" w:rsidRDefault="00CD0771" w:rsidP="00C111C1">
      <w:pPr>
        <w:tabs>
          <w:tab w:val="left" w:pos="5760"/>
          <w:tab w:val="left" w:pos="8640"/>
        </w:tabs>
        <w:spacing w:after="120"/>
        <w:jc w:val="both"/>
        <w:rPr>
          <w:rFonts w:cs="Arial"/>
          <w:szCs w:val="22"/>
        </w:rPr>
      </w:pPr>
      <w:r w:rsidRPr="002F3506">
        <w:rPr>
          <w:rFonts w:cs="Arial"/>
          <w:szCs w:val="22"/>
        </w:rPr>
        <w:t xml:space="preserve">Role:  PI </w:t>
      </w:r>
    </w:p>
    <w:p w14:paraId="2C202C1E" w14:textId="3E8D21B9" w:rsidR="00CD0771" w:rsidRPr="002F3506" w:rsidRDefault="00CD0771" w:rsidP="00CD0771">
      <w:pPr>
        <w:tabs>
          <w:tab w:val="left" w:pos="5760"/>
          <w:tab w:val="left" w:pos="8640"/>
        </w:tabs>
        <w:jc w:val="both"/>
        <w:rPr>
          <w:rFonts w:cs="Arial"/>
          <w:szCs w:val="22"/>
        </w:rPr>
      </w:pPr>
      <w:r w:rsidRPr="002F3506">
        <w:rPr>
          <w:rFonts w:cs="Arial"/>
          <w:szCs w:val="22"/>
        </w:rPr>
        <w:t>Kite Pharmaceuticals    Miklos (PI)</w:t>
      </w:r>
      <w:r w:rsidRPr="002F3506">
        <w:rPr>
          <w:rFonts w:cs="Arial"/>
          <w:szCs w:val="22"/>
        </w:rPr>
        <w:tab/>
        <w:t>07/</w:t>
      </w:r>
      <w:r w:rsidR="002F3506" w:rsidRPr="002F3506">
        <w:rPr>
          <w:rFonts w:cs="Arial"/>
          <w:szCs w:val="22"/>
        </w:rPr>
        <w:t>20/17-07/31/21</w:t>
      </w:r>
    </w:p>
    <w:p w14:paraId="69494034" w14:textId="52DF31E6" w:rsidR="00CD0771" w:rsidRPr="002F3506" w:rsidRDefault="002F3506" w:rsidP="00CD0771">
      <w:pPr>
        <w:tabs>
          <w:tab w:val="left" w:pos="5760"/>
          <w:tab w:val="left" w:pos="8640"/>
        </w:tabs>
        <w:jc w:val="both"/>
        <w:rPr>
          <w:rFonts w:cs="Arial"/>
          <w:szCs w:val="22"/>
        </w:rPr>
      </w:pPr>
      <w:r w:rsidRPr="002F3506">
        <w:rPr>
          <w:rFonts w:cs="Arial"/>
          <w:szCs w:val="22"/>
        </w:rPr>
        <w:t>Kite Pharmaceuticals</w:t>
      </w:r>
    </w:p>
    <w:p w14:paraId="3A310BC5" w14:textId="77777777" w:rsidR="00CD0771" w:rsidRPr="002F3506" w:rsidRDefault="00CD0771" w:rsidP="00CD0771">
      <w:pPr>
        <w:rPr>
          <w:rFonts w:cs="Arial"/>
          <w:szCs w:val="22"/>
        </w:rPr>
      </w:pPr>
      <w:r w:rsidRPr="002F3506">
        <w:rPr>
          <w:rFonts w:cs="Arial"/>
          <w:szCs w:val="22"/>
        </w:rPr>
        <w:t>Goals:  ZUMA9:  To provide access to axicabtagene ciloleucel (also known by the company code KTE-C19) for subjects with relapsed/refractory transplant ineligible aggressive NHL until axicabtagene ciloleucel is commercially available in each respective participating country.</w:t>
      </w:r>
    </w:p>
    <w:p w14:paraId="069D483B" w14:textId="77777777" w:rsidR="00CD0771" w:rsidRPr="002F3506" w:rsidRDefault="00CD0771" w:rsidP="00C111C1">
      <w:pPr>
        <w:tabs>
          <w:tab w:val="left" w:pos="5760"/>
          <w:tab w:val="left" w:pos="8640"/>
        </w:tabs>
        <w:spacing w:after="120"/>
        <w:jc w:val="both"/>
        <w:rPr>
          <w:rFonts w:cs="Arial"/>
          <w:szCs w:val="22"/>
        </w:rPr>
      </w:pPr>
      <w:r w:rsidRPr="002F3506">
        <w:rPr>
          <w:rFonts w:cs="Arial"/>
          <w:szCs w:val="22"/>
        </w:rPr>
        <w:t>Role:  PI</w:t>
      </w:r>
    </w:p>
    <w:p w14:paraId="79F8E352" w14:textId="14F05A03" w:rsidR="00CD0771" w:rsidRPr="002F3506" w:rsidRDefault="00CD0771" w:rsidP="00CD0771">
      <w:pPr>
        <w:tabs>
          <w:tab w:val="left" w:pos="5760"/>
          <w:tab w:val="left" w:pos="8640"/>
        </w:tabs>
        <w:jc w:val="both"/>
        <w:rPr>
          <w:rFonts w:cs="Arial"/>
          <w:szCs w:val="22"/>
        </w:rPr>
      </w:pPr>
      <w:r w:rsidRPr="002F3506">
        <w:rPr>
          <w:rFonts w:cs="Arial"/>
          <w:szCs w:val="22"/>
        </w:rPr>
        <w:t xml:space="preserve">1153413 Project 1 </w:t>
      </w:r>
      <w:r w:rsidR="002F3506" w:rsidRPr="002F3506">
        <w:rPr>
          <w:rFonts w:cs="Arial"/>
          <w:szCs w:val="22"/>
        </w:rPr>
        <w:t xml:space="preserve">  </w:t>
      </w:r>
      <w:r w:rsidRPr="002F3506">
        <w:rPr>
          <w:rFonts w:cs="Arial"/>
          <w:szCs w:val="22"/>
        </w:rPr>
        <w:t xml:space="preserve"> Miklos (PI: Cutler</w:t>
      </w:r>
      <w:r w:rsidR="00495A42">
        <w:rPr>
          <w:rFonts w:cs="Arial"/>
          <w:szCs w:val="22"/>
        </w:rPr>
        <w:t>)</w:t>
      </w:r>
      <w:r w:rsidR="00495A42">
        <w:rPr>
          <w:rFonts w:cs="Arial"/>
          <w:szCs w:val="22"/>
        </w:rPr>
        <w:tab/>
        <w:t>09/01/15-08/31/</w:t>
      </w:r>
      <w:r w:rsidR="004F644D">
        <w:rPr>
          <w:rFonts w:cs="Arial"/>
          <w:szCs w:val="22"/>
        </w:rPr>
        <w:t>22</w:t>
      </w:r>
    </w:p>
    <w:p w14:paraId="5C35CB08" w14:textId="09B2C295" w:rsidR="00CD0771" w:rsidRPr="002F3506" w:rsidRDefault="00CD0771" w:rsidP="00CD0771">
      <w:pPr>
        <w:tabs>
          <w:tab w:val="left" w:pos="5760"/>
          <w:tab w:val="left" w:pos="8640"/>
        </w:tabs>
        <w:jc w:val="both"/>
        <w:rPr>
          <w:rFonts w:cs="Arial"/>
          <w:szCs w:val="22"/>
        </w:rPr>
      </w:pPr>
      <w:r w:rsidRPr="002F3506">
        <w:rPr>
          <w:rFonts w:cs="Arial"/>
          <w:szCs w:val="22"/>
        </w:rPr>
        <w:t>Dana-Far</w:t>
      </w:r>
      <w:r w:rsidR="002F3506" w:rsidRPr="002F3506">
        <w:rPr>
          <w:rFonts w:cs="Arial"/>
          <w:szCs w:val="22"/>
        </w:rPr>
        <w:t>ber Cancer Institute/NIH</w:t>
      </w:r>
    </w:p>
    <w:p w14:paraId="16BAD0B2" w14:textId="77777777" w:rsidR="00CD0771" w:rsidRPr="002F3506" w:rsidRDefault="00CD0771" w:rsidP="00CD0771">
      <w:pPr>
        <w:tabs>
          <w:tab w:val="left" w:pos="5760"/>
          <w:tab w:val="left" w:pos="8640"/>
        </w:tabs>
        <w:jc w:val="both"/>
        <w:rPr>
          <w:rFonts w:cs="Arial"/>
          <w:szCs w:val="22"/>
        </w:rPr>
      </w:pPr>
      <w:r w:rsidRPr="002F3506">
        <w:rPr>
          <w:rFonts w:cs="Arial"/>
          <w:szCs w:val="22"/>
        </w:rPr>
        <w:t>Mechanisms, Prevention and Treatment of Chronic Graft-vs.-Host Disease - Project 1</w:t>
      </w:r>
    </w:p>
    <w:p w14:paraId="17E4E787" w14:textId="77777777" w:rsidR="00CD0771" w:rsidRPr="002F3506" w:rsidRDefault="00CD0771" w:rsidP="00CD0771">
      <w:pPr>
        <w:tabs>
          <w:tab w:val="left" w:pos="5760"/>
          <w:tab w:val="left" w:pos="8640"/>
        </w:tabs>
        <w:jc w:val="both"/>
        <w:rPr>
          <w:rFonts w:cs="Arial"/>
          <w:szCs w:val="22"/>
        </w:rPr>
      </w:pPr>
      <w:r w:rsidRPr="002F3506">
        <w:rPr>
          <w:rFonts w:cs="Arial"/>
          <w:szCs w:val="22"/>
        </w:rPr>
        <w:t xml:space="preserve">Goals:  Stanford Site PI enrolling patients onto RCT of </w:t>
      </w:r>
      <w:proofErr w:type="spellStart"/>
      <w:r w:rsidRPr="002F3506">
        <w:rPr>
          <w:rFonts w:cs="Arial"/>
          <w:szCs w:val="22"/>
        </w:rPr>
        <w:t>Obintuzumab</w:t>
      </w:r>
      <w:proofErr w:type="spellEnd"/>
      <w:r w:rsidRPr="002F3506">
        <w:rPr>
          <w:rFonts w:cs="Arial"/>
          <w:szCs w:val="22"/>
        </w:rPr>
        <w:t xml:space="preserve">-v-placebo preventing </w:t>
      </w:r>
      <w:proofErr w:type="spellStart"/>
      <w:r w:rsidRPr="002F3506">
        <w:rPr>
          <w:rFonts w:cs="Arial"/>
          <w:szCs w:val="22"/>
        </w:rPr>
        <w:t>cGVHD</w:t>
      </w:r>
      <w:proofErr w:type="spellEnd"/>
    </w:p>
    <w:p w14:paraId="4392D59F" w14:textId="77777777" w:rsidR="00CD0771" w:rsidRPr="002F3506" w:rsidRDefault="00CD0771" w:rsidP="00C111C1">
      <w:pPr>
        <w:tabs>
          <w:tab w:val="left" w:pos="5760"/>
          <w:tab w:val="left" w:pos="8640"/>
        </w:tabs>
        <w:spacing w:after="120"/>
        <w:jc w:val="both"/>
        <w:rPr>
          <w:rFonts w:cs="Arial"/>
          <w:szCs w:val="22"/>
        </w:rPr>
      </w:pPr>
      <w:r w:rsidRPr="002F3506">
        <w:rPr>
          <w:rFonts w:cs="Arial"/>
          <w:szCs w:val="22"/>
        </w:rPr>
        <w:t>Role:  Site PI</w:t>
      </w:r>
    </w:p>
    <w:p w14:paraId="4BA604FC" w14:textId="70379867" w:rsidR="00CD0771" w:rsidRPr="002F3506" w:rsidRDefault="00CD0771" w:rsidP="00CD0771">
      <w:pPr>
        <w:tabs>
          <w:tab w:val="left" w:pos="5760"/>
          <w:tab w:val="left" w:pos="8640"/>
        </w:tabs>
        <w:jc w:val="both"/>
        <w:rPr>
          <w:rFonts w:cs="Arial"/>
          <w:szCs w:val="22"/>
        </w:rPr>
      </w:pPr>
      <w:r w:rsidRPr="002F3506">
        <w:rPr>
          <w:rFonts w:cs="Arial"/>
          <w:szCs w:val="22"/>
        </w:rPr>
        <w:t xml:space="preserve">1272413 Project 3 </w:t>
      </w:r>
      <w:r w:rsidR="002F3506" w:rsidRPr="002F3506">
        <w:rPr>
          <w:rFonts w:cs="Arial"/>
          <w:szCs w:val="22"/>
        </w:rPr>
        <w:t xml:space="preserve">  </w:t>
      </w:r>
      <w:r w:rsidRPr="002F3506">
        <w:rPr>
          <w:rFonts w:cs="Arial"/>
          <w:szCs w:val="22"/>
        </w:rPr>
        <w:t xml:space="preserve"> Miklos (PI: Ritz)</w:t>
      </w:r>
      <w:r w:rsidRPr="002F3506">
        <w:rPr>
          <w:rFonts w:cs="Arial"/>
          <w:szCs w:val="22"/>
        </w:rPr>
        <w:tab/>
        <w:t>09/01/15-08/31/</w:t>
      </w:r>
      <w:r w:rsidR="004F644D">
        <w:rPr>
          <w:rFonts w:cs="Arial"/>
          <w:szCs w:val="22"/>
        </w:rPr>
        <w:t>22</w:t>
      </w:r>
    </w:p>
    <w:p w14:paraId="3B1A18BB" w14:textId="53EE0833" w:rsidR="00CD0771" w:rsidRPr="002F3506" w:rsidRDefault="00CD0771" w:rsidP="00CD0771">
      <w:pPr>
        <w:tabs>
          <w:tab w:val="left" w:pos="5760"/>
          <w:tab w:val="left" w:pos="8640"/>
        </w:tabs>
        <w:jc w:val="both"/>
        <w:rPr>
          <w:rFonts w:cs="Arial"/>
          <w:szCs w:val="22"/>
        </w:rPr>
      </w:pPr>
      <w:r w:rsidRPr="002F3506">
        <w:rPr>
          <w:rFonts w:cs="Arial"/>
          <w:szCs w:val="22"/>
        </w:rPr>
        <w:t>Dana-Farber Cancer Institute/NIH</w:t>
      </w:r>
    </w:p>
    <w:p w14:paraId="733387F6" w14:textId="77777777" w:rsidR="00CD0771" w:rsidRPr="002F3506" w:rsidRDefault="00CD0771" w:rsidP="00CD0771">
      <w:pPr>
        <w:tabs>
          <w:tab w:val="left" w:pos="5760"/>
          <w:tab w:val="left" w:pos="8640"/>
        </w:tabs>
        <w:jc w:val="both"/>
        <w:rPr>
          <w:rFonts w:cs="Arial"/>
          <w:szCs w:val="22"/>
        </w:rPr>
      </w:pPr>
      <w:r w:rsidRPr="002F3506">
        <w:rPr>
          <w:rFonts w:cs="Arial"/>
          <w:szCs w:val="22"/>
        </w:rPr>
        <w:t>Mechanisms, Prevention and Treatment of Chronic GVHD - Project 3</w:t>
      </w:r>
    </w:p>
    <w:p w14:paraId="1AF3D3E4" w14:textId="77777777" w:rsidR="00CD0771" w:rsidRPr="002F3506" w:rsidRDefault="00CD0771" w:rsidP="00CD0771">
      <w:pPr>
        <w:tabs>
          <w:tab w:val="left" w:pos="5760"/>
          <w:tab w:val="left" w:pos="8640"/>
        </w:tabs>
        <w:jc w:val="both"/>
        <w:rPr>
          <w:rFonts w:cs="Arial"/>
          <w:szCs w:val="22"/>
        </w:rPr>
      </w:pPr>
      <w:r w:rsidRPr="002F3506">
        <w:rPr>
          <w:rFonts w:cs="Arial"/>
          <w:szCs w:val="22"/>
        </w:rPr>
        <w:t xml:space="preserve">Goals: Performing correlative measurements of allogeneic B cells and other cGVHD assays </w:t>
      </w:r>
    </w:p>
    <w:p w14:paraId="17149E7C" w14:textId="77777777" w:rsidR="00CD0771" w:rsidRPr="002F3506" w:rsidRDefault="00CD0771" w:rsidP="00C111C1">
      <w:pPr>
        <w:tabs>
          <w:tab w:val="left" w:pos="5760"/>
          <w:tab w:val="left" w:pos="8640"/>
        </w:tabs>
        <w:spacing w:after="120"/>
        <w:jc w:val="both"/>
        <w:rPr>
          <w:rFonts w:cs="Arial"/>
          <w:szCs w:val="22"/>
        </w:rPr>
      </w:pPr>
      <w:r w:rsidRPr="002F3506">
        <w:rPr>
          <w:rFonts w:cs="Arial"/>
          <w:szCs w:val="22"/>
        </w:rPr>
        <w:t xml:space="preserve">Role:  Co PI </w:t>
      </w:r>
    </w:p>
    <w:p w14:paraId="0678068E" w14:textId="1FDE9989" w:rsidR="00CD0771" w:rsidRPr="002F3506" w:rsidRDefault="00CD0771" w:rsidP="00CD0771">
      <w:pPr>
        <w:pStyle w:val="references"/>
        <w:tabs>
          <w:tab w:val="left" w:pos="2160"/>
          <w:tab w:val="left" w:pos="5400"/>
          <w:tab w:val="left" w:pos="5760"/>
          <w:tab w:val="left" w:pos="7560"/>
        </w:tabs>
        <w:ind w:left="2160" w:hanging="2160"/>
        <w:jc w:val="both"/>
        <w:rPr>
          <w:rFonts w:ascii="Arial" w:hAnsi="Arial" w:cs="Arial"/>
          <w:sz w:val="22"/>
          <w:szCs w:val="22"/>
        </w:rPr>
      </w:pPr>
      <w:r w:rsidRPr="009432D9">
        <w:rPr>
          <w:rFonts w:ascii="Arial" w:hAnsi="Arial" w:cs="Arial"/>
          <w:sz w:val="22"/>
          <w:szCs w:val="22"/>
        </w:rPr>
        <w:t>CLIN2-</w:t>
      </w:r>
      <w:proofErr w:type="gramStart"/>
      <w:r w:rsidRPr="009432D9">
        <w:rPr>
          <w:rFonts w:ascii="Arial" w:hAnsi="Arial" w:cs="Arial"/>
          <w:sz w:val="22"/>
          <w:szCs w:val="22"/>
        </w:rPr>
        <w:t>10846  Miklos</w:t>
      </w:r>
      <w:proofErr w:type="gramEnd"/>
      <w:r w:rsidRPr="009432D9">
        <w:rPr>
          <w:rFonts w:ascii="Arial" w:hAnsi="Arial" w:cs="Arial"/>
          <w:sz w:val="22"/>
          <w:szCs w:val="22"/>
        </w:rPr>
        <w:t xml:space="preserve"> (PI:  Mackall)</w:t>
      </w:r>
      <w:r w:rsidRPr="009432D9">
        <w:rPr>
          <w:rFonts w:ascii="Arial" w:hAnsi="Arial" w:cs="Arial"/>
          <w:sz w:val="22"/>
          <w:szCs w:val="22"/>
        </w:rPr>
        <w:tab/>
      </w:r>
      <w:r w:rsidRPr="009432D9">
        <w:rPr>
          <w:rFonts w:ascii="Arial" w:hAnsi="Arial" w:cs="Arial"/>
          <w:sz w:val="22"/>
          <w:szCs w:val="22"/>
        </w:rPr>
        <w:tab/>
        <w:t>06/01/</w:t>
      </w:r>
      <w:r w:rsidR="00495A42" w:rsidRPr="009432D9">
        <w:rPr>
          <w:rFonts w:ascii="Arial" w:hAnsi="Arial" w:cs="Arial"/>
          <w:sz w:val="22"/>
          <w:szCs w:val="22"/>
        </w:rPr>
        <w:t>18-05/31/</w:t>
      </w:r>
      <w:r w:rsidRPr="009432D9">
        <w:rPr>
          <w:rFonts w:ascii="Arial" w:hAnsi="Arial" w:cs="Arial"/>
          <w:sz w:val="22"/>
          <w:szCs w:val="22"/>
        </w:rPr>
        <w:t>22</w:t>
      </w:r>
    </w:p>
    <w:p w14:paraId="45A01B80" w14:textId="64DE49FA" w:rsidR="00CD0771" w:rsidRPr="002F3506" w:rsidRDefault="00CD0771" w:rsidP="00CD0771">
      <w:pPr>
        <w:pStyle w:val="references"/>
        <w:tabs>
          <w:tab w:val="left" w:pos="2160"/>
          <w:tab w:val="left" w:pos="5400"/>
          <w:tab w:val="left" w:pos="5760"/>
          <w:tab w:val="left" w:pos="7560"/>
        </w:tabs>
        <w:jc w:val="both"/>
        <w:rPr>
          <w:rFonts w:ascii="Arial" w:hAnsi="Arial" w:cs="Arial"/>
          <w:sz w:val="22"/>
          <w:szCs w:val="22"/>
        </w:rPr>
      </w:pPr>
      <w:r w:rsidRPr="002F3506">
        <w:rPr>
          <w:rFonts w:ascii="Arial" w:hAnsi="Arial" w:cs="Arial"/>
          <w:sz w:val="22"/>
          <w:szCs w:val="22"/>
        </w:rPr>
        <w:t xml:space="preserve">California Institute of Regenerative Medicine (CIRM) </w:t>
      </w:r>
    </w:p>
    <w:p w14:paraId="2A4BD3E5" w14:textId="77777777" w:rsidR="00CD0771" w:rsidRPr="002F3506" w:rsidRDefault="00CD0771" w:rsidP="00CD0771">
      <w:pPr>
        <w:tabs>
          <w:tab w:val="left" w:pos="5760"/>
          <w:tab w:val="left" w:pos="8640"/>
        </w:tabs>
        <w:jc w:val="both"/>
        <w:rPr>
          <w:rFonts w:cs="Arial"/>
          <w:szCs w:val="22"/>
        </w:rPr>
      </w:pPr>
      <w:r w:rsidRPr="002F3506">
        <w:rPr>
          <w:rFonts w:cs="Arial"/>
          <w:szCs w:val="22"/>
        </w:rPr>
        <w:t>Phase 1 Study of CD19/CD22 Chimeric Antigen Receptor (CAR) T Cells in Adults with Recurrent or Refractory B Cell Malignancies</w:t>
      </w:r>
    </w:p>
    <w:p w14:paraId="3A0CBC3A" w14:textId="77777777" w:rsidR="00CD0771" w:rsidRPr="002F3506" w:rsidRDefault="00CD0771" w:rsidP="00CD0771">
      <w:pPr>
        <w:pStyle w:val="references"/>
        <w:tabs>
          <w:tab w:val="left" w:pos="2160"/>
          <w:tab w:val="left" w:pos="5400"/>
          <w:tab w:val="left" w:pos="5760"/>
          <w:tab w:val="left" w:pos="7560"/>
        </w:tabs>
        <w:jc w:val="both"/>
        <w:rPr>
          <w:rFonts w:ascii="Arial" w:hAnsi="Arial" w:cs="Arial"/>
          <w:sz w:val="22"/>
          <w:szCs w:val="22"/>
        </w:rPr>
      </w:pPr>
      <w:r w:rsidRPr="002F3506">
        <w:rPr>
          <w:rFonts w:ascii="Arial" w:hAnsi="Arial" w:cs="Arial"/>
          <w:sz w:val="22"/>
          <w:szCs w:val="22"/>
        </w:rPr>
        <w:t>Project: Cell Therapy for Leukemia and Lymphoma</w:t>
      </w:r>
      <w:r w:rsidRPr="002F3506">
        <w:rPr>
          <w:rFonts w:ascii="Arial" w:hAnsi="Arial" w:cs="Arial"/>
          <w:sz w:val="22"/>
          <w:szCs w:val="22"/>
        </w:rPr>
        <w:tab/>
      </w:r>
    </w:p>
    <w:p w14:paraId="159DD437" w14:textId="1C92687A" w:rsidR="00CD0771" w:rsidRPr="002F3506" w:rsidRDefault="00454A57" w:rsidP="00CD0771">
      <w:pPr>
        <w:pStyle w:val="references"/>
        <w:tabs>
          <w:tab w:val="left" w:pos="2160"/>
          <w:tab w:val="left" w:pos="5400"/>
          <w:tab w:val="left" w:pos="5760"/>
          <w:tab w:val="left" w:pos="7560"/>
        </w:tabs>
        <w:ind w:left="0" w:firstLine="0"/>
        <w:jc w:val="both"/>
        <w:rPr>
          <w:rFonts w:ascii="Arial" w:hAnsi="Arial" w:cs="Arial"/>
          <w:sz w:val="22"/>
          <w:szCs w:val="22"/>
        </w:rPr>
      </w:pPr>
      <w:r w:rsidRPr="002F3506">
        <w:rPr>
          <w:rFonts w:ascii="Arial" w:hAnsi="Arial" w:cs="Arial"/>
          <w:sz w:val="22"/>
          <w:szCs w:val="22"/>
        </w:rPr>
        <w:t>Co-Invest</w:t>
      </w:r>
      <w:r>
        <w:rPr>
          <w:rFonts w:ascii="Arial" w:hAnsi="Arial" w:cs="Arial"/>
          <w:sz w:val="22"/>
          <w:szCs w:val="22"/>
        </w:rPr>
        <w:t>igator</w:t>
      </w:r>
      <w:r w:rsidR="008C7FEA">
        <w:rPr>
          <w:rFonts w:ascii="Arial" w:hAnsi="Arial" w:cs="Arial"/>
          <w:sz w:val="22"/>
          <w:szCs w:val="22"/>
        </w:rPr>
        <w:t>: (</w:t>
      </w:r>
      <w:r w:rsidR="00CD0771" w:rsidRPr="002F3506">
        <w:rPr>
          <w:rFonts w:ascii="Arial" w:hAnsi="Arial" w:cs="Arial"/>
          <w:sz w:val="22"/>
          <w:szCs w:val="22"/>
        </w:rPr>
        <w:t>PI: Crystal Mackall)</w:t>
      </w:r>
    </w:p>
    <w:p w14:paraId="62E2FEF8" w14:textId="57B08876" w:rsidR="00CD0771" w:rsidRPr="002F3506" w:rsidRDefault="00CD0771" w:rsidP="00CD0771">
      <w:pPr>
        <w:pStyle w:val="references"/>
        <w:tabs>
          <w:tab w:val="left" w:pos="2160"/>
          <w:tab w:val="left" w:pos="5400"/>
          <w:tab w:val="left" w:pos="5760"/>
          <w:tab w:val="left" w:pos="7560"/>
        </w:tabs>
        <w:ind w:left="0" w:firstLine="0"/>
        <w:jc w:val="both"/>
        <w:rPr>
          <w:rFonts w:ascii="Arial" w:hAnsi="Arial" w:cs="Arial"/>
          <w:sz w:val="22"/>
          <w:szCs w:val="22"/>
        </w:rPr>
      </w:pPr>
      <w:r w:rsidRPr="002F3506">
        <w:rPr>
          <w:rFonts w:ascii="Arial" w:hAnsi="Arial" w:cs="Arial"/>
          <w:sz w:val="22"/>
          <w:szCs w:val="22"/>
        </w:rPr>
        <w:t>Goals: Determine feasibility, safety, and efficacy of bi-specific CAR targeting CD19 and CD22 in pati</w:t>
      </w:r>
      <w:r w:rsidR="00AD4B10">
        <w:rPr>
          <w:rFonts w:ascii="Arial" w:hAnsi="Arial" w:cs="Arial"/>
          <w:sz w:val="22"/>
          <w:szCs w:val="22"/>
        </w:rPr>
        <w:t>en</w:t>
      </w:r>
      <w:r w:rsidRPr="002F3506">
        <w:rPr>
          <w:rFonts w:ascii="Arial" w:hAnsi="Arial" w:cs="Arial"/>
          <w:sz w:val="22"/>
          <w:szCs w:val="22"/>
        </w:rPr>
        <w:t>ts with refractory/relapsed Diffuse large B cell lymphoma (DLBCL) or Acute Lymphoblastic Leukemia (ALL)</w:t>
      </w:r>
    </w:p>
    <w:p w14:paraId="395C6AC1" w14:textId="77777777" w:rsidR="00CD0771" w:rsidRPr="002F3506" w:rsidRDefault="00CD0771" w:rsidP="00C111C1">
      <w:pPr>
        <w:tabs>
          <w:tab w:val="left" w:pos="5760"/>
          <w:tab w:val="left" w:pos="8640"/>
        </w:tabs>
        <w:spacing w:after="120"/>
        <w:jc w:val="both"/>
        <w:rPr>
          <w:rFonts w:cs="Arial"/>
          <w:szCs w:val="22"/>
        </w:rPr>
      </w:pPr>
      <w:r w:rsidRPr="002F3506">
        <w:rPr>
          <w:rFonts w:cs="Arial"/>
          <w:szCs w:val="22"/>
        </w:rPr>
        <w:t>Role: Clinical Trial PI: Phase 1b Clinical Trial of Bi-specific CAR19-22</w:t>
      </w:r>
    </w:p>
    <w:p w14:paraId="1A75CDD7" w14:textId="77777777" w:rsidR="009F38DC" w:rsidRDefault="009F38DC" w:rsidP="00C111C1">
      <w:pPr>
        <w:pStyle w:val="Heading2"/>
        <w:spacing w:before="0" w:after="120"/>
        <w:rPr>
          <w:rFonts w:cs="Arial"/>
          <w:szCs w:val="22"/>
          <w:u w:val="none"/>
        </w:rPr>
      </w:pPr>
    </w:p>
    <w:p w14:paraId="1602E8EE" w14:textId="57DF3C2E" w:rsidR="00E803F9" w:rsidRPr="00502E92" w:rsidRDefault="00BB5B75" w:rsidP="00502E92">
      <w:pPr>
        <w:pStyle w:val="Heading2"/>
        <w:spacing w:before="0" w:after="120"/>
        <w:rPr>
          <w:rFonts w:cs="Arial"/>
          <w:szCs w:val="22"/>
          <w:u w:val="none"/>
        </w:rPr>
      </w:pPr>
      <w:r w:rsidRPr="002F3506">
        <w:rPr>
          <w:rFonts w:cs="Arial"/>
          <w:szCs w:val="22"/>
          <w:u w:val="none"/>
        </w:rPr>
        <w:t>Completed Research Support</w:t>
      </w:r>
    </w:p>
    <w:p w14:paraId="7E69CA49" w14:textId="2D3CAC12" w:rsidR="00E803F9" w:rsidRPr="009E5A31" w:rsidRDefault="00E803F9" w:rsidP="00E803F9">
      <w:pPr>
        <w:pStyle w:val="PlainText"/>
        <w:tabs>
          <w:tab w:val="left" w:pos="5760"/>
          <w:tab w:val="left" w:pos="8640"/>
          <w:tab w:val="left" w:pos="9360"/>
        </w:tabs>
        <w:rPr>
          <w:rFonts w:ascii="Arial" w:hAnsi="Arial" w:cs="Arial"/>
          <w:sz w:val="22"/>
          <w:szCs w:val="22"/>
          <w:lang w:val="en-US"/>
        </w:rPr>
      </w:pPr>
      <w:r w:rsidRPr="009E5A31">
        <w:rPr>
          <w:rFonts w:ascii="Arial" w:hAnsi="Arial" w:cs="Arial"/>
        </w:rPr>
        <w:t>0261-01STAN (Miklos, David - Project 111206)</w:t>
      </w:r>
      <w:r>
        <w:rPr>
          <w:rFonts w:ascii="Arial" w:hAnsi="Arial" w:cs="Arial"/>
          <w:lang w:val="en-US"/>
        </w:rPr>
        <w:tab/>
        <w:t>9/1/2014-8/31/2017</w:t>
      </w:r>
      <w:r>
        <w:rPr>
          <w:rFonts w:ascii="Arial" w:hAnsi="Arial" w:cs="Arial"/>
          <w:lang w:val="en-US"/>
        </w:rPr>
        <w:tab/>
      </w:r>
      <w:r w:rsidRPr="009E5A31">
        <w:rPr>
          <w:rFonts w:ascii="Arial" w:hAnsi="Arial" w:cs="Arial"/>
        </w:rPr>
        <w:br/>
        <w:t>Prime Sponsor: National Institutes of Health</w:t>
      </w:r>
      <w:r>
        <w:rPr>
          <w:rFonts w:ascii="Arial" w:hAnsi="Arial" w:cs="Arial"/>
          <w:lang w:val="en-US"/>
        </w:rPr>
        <w:tab/>
      </w:r>
    </w:p>
    <w:p w14:paraId="3B825F3C" w14:textId="77777777" w:rsidR="00E803F9" w:rsidRPr="009E5A31" w:rsidRDefault="00E803F9" w:rsidP="00E803F9">
      <w:pPr>
        <w:pStyle w:val="PlainText"/>
        <w:tabs>
          <w:tab w:val="left" w:pos="5760"/>
          <w:tab w:val="left" w:pos="8640"/>
          <w:tab w:val="left" w:pos="9360"/>
        </w:tabs>
        <w:jc w:val="both"/>
        <w:rPr>
          <w:rFonts w:ascii="Arial" w:hAnsi="Arial" w:cs="Arial"/>
          <w:sz w:val="22"/>
          <w:szCs w:val="22"/>
          <w:lang w:val="en-US"/>
        </w:rPr>
      </w:pPr>
      <w:r w:rsidRPr="009E5A31">
        <w:rPr>
          <w:rFonts w:ascii="Arial" w:hAnsi="Arial" w:cs="Arial"/>
          <w:sz w:val="22"/>
          <w:szCs w:val="22"/>
        </w:rPr>
        <w:t xml:space="preserve">NIH/NIAMS Small Grant Program For New Investigators (R03) </w:t>
      </w:r>
    </w:p>
    <w:p w14:paraId="138C5F6F" w14:textId="77777777" w:rsidR="00E803F9" w:rsidRPr="009E5A31" w:rsidRDefault="00E803F9" w:rsidP="00E803F9">
      <w:pPr>
        <w:pStyle w:val="PlainText"/>
        <w:tabs>
          <w:tab w:val="left" w:pos="5760"/>
          <w:tab w:val="left" w:pos="8640"/>
          <w:tab w:val="left" w:pos="9360"/>
        </w:tabs>
        <w:jc w:val="both"/>
        <w:rPr>
          <w:rFonts w:ascii="Arial" w:hAnsi="Arial" w:cs="Arial"/>
          <w:sz w:val="22"/>
          <w:szCs w:val="22"/>
        </w:rPr>
      </w:pPr>
      <w:r w:rsidRPr="009E5A31">
        <w:rPr>
          <w:rFonts w:ascii="Arial" w:hAnsi="Arial" w:cs="Arial"/>
          <w:sz w:val="22"/>
          <w:szCs w:val="22"/>
        </w:rPr>
        <w:t xml:space="preserve">Oklahoma Medical Research Foundation </w:t>
      </w:r>
    </w:p>
    <w:p w14:paraId="0B35E89D" w14:textId="77777777" w:rsidR="00E803F9" w:rsidRPr="009E5A31" w:rsidRDefault="00E803F9" w:rsidP="00E803F9">
      <w:pPr>
        <w:tabs>
          <w:tab w:val="left" w:pos="720"/>
          <w:tab w:val="left" w:pos="1440"/>
          <w:tab w:val="left" w:pos="2160"/>
          <w:tab w:val="left" w:pos="2880"/>
          <w:tab w:val="left" w:pos="5760"/>
          <w:tab w:val="left" w:pos="7200"/>
          <w:tab w:val="left" w:pos="8640"/>
        </w:tabs>
        <w:jc w:val="both"/>
        <w:rPr>
          <w:rFonts w:cs="Arial"/>
          <w:sz w:val="20"/>
          <w:szCs w:val="20"/>
        </w:rPr>
      </w:pPr>
      <w:r w:rsidRPr="009E5A31">
        <w:rPr>
          <w:rFonts w:cs="Arial"/>
          <w:sz w:val="20"/>
          <w:szCs w:val="20"/>
        </w:rPr>
        <w:t>Antibody Mediated Spontaneous Abortion in Lupus Pregnancies</w:t>
      </w:r>
    </w:p>
    <w:p w14:paraId="2E2986DC" w14:textId="23A6B667" w:rsidR="00E803F9" w:rsidRDefault="00E803F9" w:rsidP="00E803F9">
      <w:pPr>
        <w:tabs>
          <w:tab w:val="left" w:pos="720"/>
          <w:tab w:val="left" w:pos="1440"/>
          <w:tab w:val="left" w:pos="2160"/>
          <w:tab w:val="left" w:pos="2880"/>
          <w:tab w:val="left" w:pos="5760"/>
          <w:tab w:val="left" w:pos="7200"/>
          <w:tab w:val="left" w:pos="8640"/>
        </w:tabs>
        <w:jc w:val="both"/>
        <w:rPr>
          <w:rFonts w:cs="Arial"/>
          <w:szCs w:val="22"/>
        </w:rPr>
      </w:pPr>
      <w:r w:rsidRPr="009E5A31">
        <w:rPr>
          <w:rFonts w:cs="Arial"/>
          <w:szCs w:val="22"/>
        </w:rPr>
        <w:t>Role: Miklos Co PI - responsible for measuring 1800 sera for HY and HX Ab and assisting with analysis</w:t>
      </w:r>
    </w:p>
    <w:p w14:paraId="4DB05114" w14:textId="77777777" w:rsidR="00454A57" w:rsidRPr="009E5A31" w:rsidRDefault="00454A57" w:rsidP="00E803F9">
      <w:pPr>
        <w:tabs>
          <w:tab w:val="left" w:pos="720"/>
          <w:tab w:val="left" w:pos="1440"/>
          <w:tab w:val="left" w:pos="2160"/>
          <w:tab w:val="left" w:pos="2880"/>
          <w:tab w:val="left" w:pos="5760"/>
          <w:tab w:val="left" w:pos="7200"/>
          <w:tab w:val="left" w:pos="8640"/>
        </w:tabs>
        <w:jc w:val="both"/>
        <w:rPr>
          <w:rFonts w:cs="Arial"/>
          <w:szCs w:val="22"/>
        </w:rPr>
      </w:pPr>
    </w:p>
    <w:p w14:paraId="017A09B1" w14:textId="77777777" w:rsidR="00454A57" w:rsidRPr="002F3506" w:rsidRDefault="00454A57" w:rsidP="00454A57">
      <w:pPr>
        <w:tabs>
          <w:tab w:val="left" w:pos="720"/>
          <w:tab w:val="left" w:pos="1440"/>
          <w:tab w:val="left" w:pos="2160"/>
          <w:tab w:val="left" w:pos="2880"/>
          <w:tab w:val="left" w:pos="5760"/>
          <w:tab w:val="left" w:pos="7200"/>
          <w:tab w:val="left" w:pos="8640"/>
        </w:tabs>
        <w:rPr>
          <w:rFonts w:cs="Arial"/>
          <w:color w:val="000000"/>
          <w:szCs w:val="22"/>
          <w:shd w:val="clear" w:color="auto" w:fill="FFFFFF"/>
        </w:rPr>
      </w:pPr>
      <w:r w:rsidRPr="002F3506">
        <w:rPr>
          <w:rFonts w:cs="Arial"/>
          <w:color w:val="000000"/>
          <w:szCs w:val="22"/>
          <w:shd w:val="clear" w:color="auto" w:fill="FFFFFF"/>
        </w:rPr>
        <w:t>Correlative studies for PCYC-1129    Miklos (PI)</w:t>
      </w:r>
      <w:r w:rsidRPr="002F3506">
        <w:rPr>
          <w:rFonts w:cs="Arial"/>
          <w:color w:val="000000"/>
          <w:szCs w:val="22"/>
          <w:shd w:val="clear" w:color="auto" w:fill="FFFFFF"/>
        </w:rPr>
        <w:tab/>
        <w:t>01/20/16-01/31/</w:t>
      </w:r>
      <w:r>
        <w:rPr>
          <w:rFonts w:cs="Arial"/>
          <w:color w:val="000000"/>
          <w:szCs w:val="22"/>
          <w:shd w:val="clear" w:color="auto" w:fill="FFFFFF"/>
        </w:rPr>
        <w:t>20</w:t>
      </w:r>
    </w:p>
    <w:p w14:paraId="41D26BD2" w14:textId="77777777" w:rsidR="00454A57" w:rsidRPr="002F3506" w:rsidRDefault="00454A57" w:rsidP="00454A57">
      <w:pPr>
        <w:tabs>
          <w:tab w:val="left" w:pos="720"/>
          <w:tab w:val="left" w:pos="1440"/>
          <w:tab w:val="left" w:pos="2160"/>
          <w:tab w:val="left" w:pos="2880"/>
          <w:tab w:val="left" w:pos="5760"/>
          <w:tab w:val="left" w:pos="7200"/>
          <w:tab w:val="left" w:pos="8640"/>
        </w:tabs>
        <w:rPr>
          <w:rFonts w:cs="Arial"/>
          <w:szCs w:val="22"/>
          <w:u w:val="single"/>
        </w:rPr>
      </w:pPr>
      <w:r w:rsidRPr="002F3506">
        <w:rPr>
          <w:rFonts w:cs="Arial"/>
          <w:color w:val="000000"/>
          <w:szCs w:val="22"/>
          <w:shd w:val="clear" w:color="auto" w:fill="FFFFFF"/>
        </w:rPr>
        <w:t>Pharmacyclics, Inc.</w:t>
      </w:r>
      <w:r w:rsidRPr="002F3506">
        <w:rPr>
          <w:rFonts w:cs="Arial"/>
          <w:color w:val="000000"/>
          <w:szCs w:val="22"/>
          <w:shd w:val="clear" w:color="auto" w:fill="FFFFFF"/>
        </w:rPr>
        <w:tab/>
      </w:r>
    </w:p>
    <w:p w14:paraId="407F2AB0" w14:textId="77777777" w:rsidR="00454A57" w:rsidRPr="002F3506" w:rsidRDefault="00454A57" w:rsidP="00454A57">
      <w:pPr>
        <w:tabs>
          <w:tab w:val="left" w:pos="720"/>
          <w:tab w:val="left" w:pos="1440"/>
          <w:tab w:val="left" w:pos="2160"/>
          <w:tab w:val="left" w:pos="2880"/>
          <w:tab w:val="left" w:pos="5760"/>
          <w:tab w:val="left" w:pos="7200"/>
          <w:tab w:val="left" w:pos="8640"/>
        </w:tabs>
        <w:rPr>
          <w:rFonts w:cs="Arial"/>
          <w:szCs w:val="22"/>
        </w:rPr>
      </w:pPr>
      <w:r w:rsidRPr="002F3506">
        <w:rPr>
          <w:rFonts w:cs="Arial"/>
          <w:szCs w:val="22"/>
        </w:rPr>
        <w:t>Goals: Development and optimization of a simultaneous analysis of 28 phenotypic markers for cell identity in combination with 1 to 4 regulatory phosphorylation markers as sentinels of ibrutinib activity, and indicators of DNA content and cell viability.</w:t>
      </w:r>
    </w:p>
    <w:p w14:paraId="31A49CE4" w14:textId="0E7413E0" w:rsidR="00E803F9" w:rsidRPr="00062BD7" w:rsidRDefault="00454A57" w:rsidP="00454A57">
      <w:pPr>
        <w:tabs>
          <w:tab w:val="left" w:pos="720"/>
          <w:tab w:val="left" w:pos="1440"/>
          <w:tab w:val="left" w:pos="2160"/>
          <w:tab w:val="left" w:pos="2880"/>
          <w:tab w:val="left" w:pos="5760"/>
          <w:tab w:val="left" w:pos="7200"/>
          <w:tab w:val="left" w:pos="8640"/>
        </w:tabs>
        <w:spacing w:after="120"/>
        <w:rPr>
          <w:rFonts w:cs="Arial"/>
          <w:szCs w:val="22"/>
        </w:rPr>
      </w:pPr>
      <w:r w:rsidRPr="002F3506">
        <w:rPr>
          <w:rFonts w:cs="Arial"/>
          <w:szCs w:val="22"/>
        </w:rPr>
        <w:t>Role: PI</w:t>
      </w:r>
    </w:p>
    <w:p w14:paraId="4AE3397F" w14:textId="0A21A717" w:rsidR="009F38DC" w:rsidRDefault="009F38DC" w:rsidP="00D96E14">
      <w:pPr>
        <w:tabs>
          <w:tab w:val="left" w:pos="5760"/>
          <w:tab w:val="left" w:pos="8640"/>
        </w:tabs>
        <w:jc w:val="both"/>
        <w:rPr>
          <w:rFonts w:cs="Arial"/>
        </w:rPr>
      </w:pPr>
    </w:p>
    <w:p w14:paraId="46D40722" w14:textId="3281A020" w:rsidR="009F38DC" w:rsidRPr="002F3506" w:rsidRDefault="009F38DC" w:rsidP="009F38DC">
      <w:pPr>
        <w:tabs>
          <w:tab w:val="left" w:pos="5760"/>
          <w:tab w:val="left" w:pos="8640"/>
          <w:tab w:val="right" w:pos="10800"/>
        </w:tabs>
        <w:jc w:val="both"/>
        <w:rPr>
          <w:rStyle w:val="clsstaticdata1"/>
          <w:sz w:val="22"/>
          <w:szCs w:val="22"/>
        </w:rPr>
      </w:pPr>
      <w:r w:rsidRPr="002F3506">
        <w:rPr>
          <w:rStyle w:val="clsstaticdata1"/>
          <w:sz w:val="22"/>
          <w:szCs w:val="22"/>
        </w:rPr>
        <w:t>P0 1CA049605    Negrin (PI)</w:t>
      </w:r>
      <w:r w:rsidRPr="002F3506">
        <w:rPr>
          <w:rStyle w:val="clsstaticdata1"/>
          <w:sz w:val="22"/>
          <w:szCs w:val="22"/>
        </w:rPr>
        <w:tab/>
        <w:t>04/15/89-03/31/19</w:t>
      </w:r>
    </w:p>
    <w:p w14:paraId="4F228356" w14:textId="77777777" w:rsidR="009F38DC" w:rsidRPr="002F3506" w:rsidRDefault="009F38DC" w:rsidP="009F38DC">
      <w:pPr>
        <w:tabs>
          <w:tab w:val="left" w:pos="5760"/>
          <w:tab w:val="left" w:pos="8640"/>
          <w:tab w:val="right" w:pos="10800"/>
        </w:tabs>
        <w:jc w:val="both"/>
        <w:rPr>
          <w:rFonts w:cs="Arial"/>
          <w:szCs w:val="22"/>
        </w:rPr>
      </w:pPr>
      <w:r w:rsidRPr="002F3506">
        <w:rPr>
          <w:rFonts w:cs="Arial"/>
          <w:szCs w:val="22"/>
        </w:rPr>
        <w:t>NIH/National Cancer Institute</w:t>
      </w:r>
    </w:p>
    <w:p w14:paraId="7A1547DD" w14:textId="77777777" w:rsidR="009F38DC" w:rsidRPr="002F3506" w:rsidRDefault="009F38DC" w:rsidP="009F38DC">
      <w:pPr>
        <w:pStyle w:val="references"/>
        <w:tabs>
          <w:tab w:val="left" w:pos="5760"/>
          <w:tab w:val="left" w:pos="8640"/>
        </w:tabs>
        <w:ind w:left="0" w:firstLine="0"/>
        <w:jc w:val="both"/>
        <w:rPr>
          <w:rFonts w:ascii="Arial" w:hAnsi="Arial" w:cs="Arial"/>
          <w:sz w:val="22"/>
          <w:szCs w:val="22"/>
        </w:rPr>
      </w:pPr>
      <w:r w:rsidRPr="002F3506">
        <w:rPr>
          <w:rFonts w:ascii="Arial" w:hAnsi="Arial" w:cs="Arial"/>
          <w:sz w:val="22"/>
          <w:szCs w:val="22"/>
        </w:rPr>
        <w:t>Bone Marrow Grafting for Leukemia and Lymphoma</w:t>
      </w:r>
    </w:p>
    <w:p w14:paraId="1D72F062" w14:textId="77777777" w:rsidR="009F38DC" w:rsidRPr="002F3506" w:rsidRDefault="009F38DC" w:rsidP="009F38DC">
      <w:pPr>
        <w:tabs>
          <w:tab w:val="left" w:pos="5400"/>
          <w:tab w:val="left" w:pos="5760"/>
          <w:tab w:val="left" w:pos="8640"/>
          <w:tab w:val="right" w:pos="10800"/>
        </w:tabs>
        <w:jc w:val="both"/>
        <w:rPr>
          <w:rFonts w:cs="Arial"/>
          <w:szCs w:val="22"/>
        </w:rPr>
      </w:pPr>
      <w:r w:rsidRPr="002F3506">
        <w:rPr>
          <w:rFonts w:cs="Arial"/>
          <w:szCs w:val="22"/>
        </w:rPr>
        <w:t xml:space="preserve">Role: Project 4 leader - Improving Graft-vs.-Leukemia </w:t>
      </w:r>
      <w:proofErr w:type="spellStart"/>
      <w:r w:rsidRPr="002F3506">
        <w:rPr>
          <w:rFonts w:cs="Arial"/>
          <w:szCs w:val="22"/>
        </w:rPr>
        <w:t>Alloimmunity</w:t>
      </w:r>
      <w:proofErr w:type="spellEnd"/>
      <w:r w:rsidRPr="002F3506">
        <w:rPr>
          <w:rFonts w:cs="Arial"/>
          <w:szCs w:val="22"/>
        </w:rPr>
        <w:t xml:space="preserve"> against CLL</w:t>
      </w:r>
    </w:p>
    <w:p w14:paraId="5D7CA642" w14:textId="77777777" w:rsidR="009F38DC" w:rsidRPr="009432D9" w:rsidRDefault="009F38DC" w:rsidP="009F38DC">
      <w:pPr>
        <w:tabs>
          <w:tab w:val="left" w:pos="5760"/>
          <w:tab w:val="left" w:pos="8640"/>
        </w:tabs>
        <w:adjustRightInd w:val="0"/>
        <w:jc w:val="both"/>
        <w:rPr>
          <w:rFonts w:cs="Arial"/>
          <w:iCs/>
          <w:color w:val="000000"/>
          <w:szCs w:val="22"/>
        </w:rPr>
      </w:pPr>
      <w:bookmarkStart w:id="3" w:name="OLE_LINK1"/>
      <w:bookmarkStart w:id="4" w:name="OLE_LINK2"/>
      <w:r w:rsidRPr="009432D9">
        <w:rPr>
          <w:rFonts w:cs="Arial"/>
          <w:color w:val="000000"/>
          <w:szCs w:val="22"/>
        </w:rPr>
        <w:t xml:space="preserve">Goals: 1. To validate immunoglobulin heavy chain (IGH) high throughput sequence (HTS) methods to quantify CLL minimal residual disease </w:t>
      </w:r>
      <w:bookmarkEnd w:id="3"/>
      <w:bookmarkEnd w:id="4"/>
      <w:r w:rsidRPr="009432D9">
        <w:rPr>
          <w:rFonts w:cs="Arial"/>
          <w:color w:val="000000"/>
          <w:szCs w:val="22"/>
        </w:rPr>
        <w:t>(MRD) as a predictor of relapse.</w:t>
      </w:r>
    </w:p>
    <w:p w14:paraId="120316D5" w14:textId="77777777" w:rsidR="009F38DC" w:rsidRPr="009432D9" w:rsidRDefault="009F38DC" w:rsidP="009F38DC">
      <w:pPr>
        <w:tabs>
          <w:tab w:val="left" w:pos="5760"/>
          <w:tab w:val="left" w:pos="8640"/>
        </w:tabs>
        <w:contextualSpacing/>
        <w:jc w:val="both"/>
        <w:rPr>
          <w:rFonts w:cs="Arial"/>
          <w:bCs/>
          <w:color w:val="000000"/>
          <w:szCs w:val="22"/>
        </w:rPr>
      </w:pPr>
      <w:r w:rsidRPr="009432D9">
        <w:rPr>
          <w:rFonts w:cs="Arial"/>
          <w:color w:val="000000"/>
          <w:szCs w:val="22"/>
        </w:rPr>
        <w:t xml:space="preserve">2. To evaluate B and </w:t>
      </w:r>
      <w:r w:rsidRPr="009432D9">
        <w:rPr>
          <w:rFonts w:cs="Arial"/>
          <w:iCs/>
          <w:color w:val="000000"/>
          <w:szCs w:val="22"/>
        </w:rPr>
        <w:t xml:space="preserve">T cell repertoire </w:t>
      </w:r>
      <w:r w:rsidRPr="009432D9">
        <w:rPr>
          <w:rFonts w:cs="Arial"/>
          <w:color w:val="000000"/>
          <w:szCs w:val="22"/>
        </w:rPr>
        <w:t xml:space="preserve">diversity and tempo of development following </w:t>
      </w:r>
      <w:r w:rsidRPr="009432D9">
        <w:rPr>
          <w:rFonts w:cs="Arial"/>
          <w:bCs/>
          <w:color w:val="000000"/>
          <w:szCs w:val="22"/>
        </w:rPr>
        <w:t>alloHCT in relation to CLL MRD response and GVHD.</w:t>
      </w:r>
    </w:p>
    <w:p w14:paraId="1B8FAF97" w14:textId="77777777" w:rsidR="009F38DC" w:rsidRPr="002F3506" w:rsidRDefault="009F38DC" w:rsidP="009F38DC">
      <w:pPr>
        <w:pStyle w:val="references"/>
        <w:tabs>
          <w:tab w:val="left" w:pos="5400"/>
          <w:tab w:val="left" w:pos="5760"/>
          <w:tab w:val="left" w:pos="7560"/>
          <w:tab w:val="left" w:pos="8640"/>
        </w:tabs>
        <w:spacing w:after="120"/>
        <w:ind w:left="0" w:firstLine="0"/>
        <w:jc w:val="both"/>
        <w:rPr>
          <w:rFonts w:ascii="Arial" w:hAnsi="Arial" w:cs="Arial"/>
          <w:sz w:val="22"/>
          <w:szCs w:val="22"/>
        </w:rPr>
      </w:pPr>
      <w:r w:rsidRPr="009432D9">
        <w:rPr>
          <w:rFonts w:ascii="Arial" w:hAnsi="Arial" w:cs="Arial"/>
          <w:bCs/>
          <w:color w:val="000000"/>
          <w:sz w:val="22"/>
          <w:szCs w:val="22"/>
        </w:rPr>
        <w:t xml:space="preserve">3. Phase II clinical trial to determine if </w:t>
      </w:r>
      <w:proofErr w:type="spellStart"/>
      <w:r w:rsidRPr="009432D9">
        <w:rPr>
          <w:rFonts w:ascii="Arial" w:hAnsi="Arial" w:cs="Arial"/>
          <w:bCs/>
          <w:color w:val="000000"/>
          <w:sz w:val="22"/>
          <w:szCs w:val="22"/>
        </w:rPr>
        <w:t>alloCIK</w:t>
      </w:r>
      <w:proofErr w:type="spellEnd"/>
      <w:r w:rsidRPr="009432D9">
        <w:rPr>
          <w:rFonts w:ascii="Arial" w:hAnsi="Arial" w:cs="Arial"/>
          <w:bCs/>
          <w:color w:val="000000"/>
          <w:sz w:val="22"/>
          <w:szCs w:val="22"/>
        </w:rPr>
        <w:t xml:space="preserve"> cell infusion in CLL patients with mixed donor chimerism will improve immune reconstitution, GVL, and prevent CLL relapse.</w:t>
      </w:r>
    </w:p>
    <w:p w14:paraId="4813CAB0" w14:textId="4B2ADAE2" w:rsidR="009F38DC" w:rsidRDefault="009F38DC" w:rsidP="00D96E14">
      <w:pPr>
        <w:tabs>
          <w:tab w:val="left" w:pos="5760"/>
          <w:tab w:val="left" w:pos="8640"/>
        </w:tabs>
        <w:jc w:val="both"/>
        <w:rPr>
          <w:rFonts w:cs="Arial"/>
          <w:szCs w:val="22"/>
        </w:rPr>
      </w:pPr>
    </w:p>
    <w:p w14:paraId="390CE729" w14:textId="455085A0" w:rsidR="00FF5DF8" w:rsidRPr="00062BD7" w:rsidRDefault="00FF5DF8" w:rsidP="00FF5DF8">
      <w:pPr>
        <w:tabs>
          <w:tab w:val="left" w:pos="4500"/>
          <w:tab w:val="left" w:pos="5760"/>
          <w:tab w:val="left" w:pos="8640"/>
        </w:tabs>
        <w:rPr>
          <w:rFonts w:cs="Arial"/>
          <w:szCs w:val="22"/>
        </w:rPr>
      </w:pPr>
      <w:r w:rsidRPr="00062BD7">
        <w:rPr>
          <w:rFonts w:cs="Arial"/>
          <w:szCs w:val="22"/>
        </w:rPr>
        <w:t>R01 HL114591 (Negrin PI)</w:t>
      </w:r>
      <w:r w:rsidRPr="00062BD7">
        <w:rPr>
          <w:rFonts w:cs="Arial"/>
          <w:szCs w:val="22"/>
        </w:rPr>
        <w:tab/>
      </w:r>
      <w:r w:rsidRPr="00062BD7">
        <w:rPr>
          <w:rFonts w:cs="Arial"/>
          <w:szCs w:val="22"/>
        </w:rPr>
        <w:tab/>
        <w:t>09/01/12-05/31/1</w:t>
      </w:r>
      <w:r>
        <w:rPr>
          <w:rFonts w:cs="Arial"/>
          <w:szCs w:val="22"/>
        </w:rPr>
        <w:t>8</w:t>
      </w:r>
      <w:r w:rsidRPr="00062BD7">
        <w:rPr>
          <w:rFonts w:cs="Arial"/>
          <w:szCs w:val="22"/>
        </w:rPr>
        <w:tab/>
      </w:r>
    </w:p>
    <w:p w14:paraId="3F0CEF0E" w14:textId="56AF9519" w:rsidR="00FF5DF8" w:rsidRPr="00062BD7" w:rsidRDefault="00FF5DF8" w:rsidP="00FF5DF8">
      <w:pPr>
        <w:tabs>
          <w:tab w:val="left" w:pos="4500"/>
          <w:tab w:val="left" w:pos="5760"/>
          <w:tab w:val="left" w:pos="8640"/>
        </w:tabs>
        <w:rPr>
          <w:rFonts w:cs="Arial"/>
          <w:szCs w:val="22"/>
        </w:rPr>
      </w:pPr>
      <w:r w:rsidRPr="00062BD7">
        <w:rPr>
          <w:rFonts w:cs="Arial"/>
          <w:szCs w:val="22"/>
        </w:rPr>
        <w:t xml:space="preserve">NIH/National Heart, Lung and Blood Institute </w:t>
      </w:r>
      <w:r w:rsidRPr="00062BD7">
        <w:rPr>
          <w:rFonts w:cs="Arial"/>
          <w:szCs w:val="22"/>
        </w:rPr>
        <w:tab/>
      </w:r>
      <w:r w:rsidRPr="00062BD7">
        <w:rPr>
          <w:rFonts w:cs="Arial"/>
          <w:szCs w:val="22"/>
        </w:rPr>
        <w:tab/>
      </w:r>
    </w:p>
    <w:p w14:paraId="6E3BB9C9" w14:textId="77777777" w:rsidR="00FF5DF8" w:rsidRPr="00062BD7" w:rsidRDefault="00FF5DF8" w:rsidP="00FF5DF8">
      <w:pPr>
        <w:tabs>
          <w:tab w:val="left" w:pos="5760"/>
          <w:tab w:val="left" w:pos="8640"/>
        </w:tabs>
        <w:rPr>
          <w:rFonts w:cs="Arial"/>
          <w:szCs w:val="22"/>
        </w:rPr>
      </w:pPr>
      <w:r w:rsidRPr="00062BD7">
        <w:rPr>
          <w:rFonts w:cs="Arial"/>
          <w:szCs w:val="22"/>
        </w:rPr>
        <w:t xml:space="preserve">Regulatory T cells in </w:t>
      </w:r>
      <w:proofErr w:type="spellStart"/>
      <w:r w:rsidRPr="00062BD7">
        <w:rPr>
          <w:rFonts w:cs="Arial"/>
          <w:szCs w:val="22"/>
        </w:rPr>
        <w:t>allo</w:t>
      </w:r>
      <w:proofErr w:type="spellEnd"/>
      <w:r w:rsidRPr="00062BD7">
        <w:rPr>
          <w:rFonts w:cs="Arial"/>
          <w:szCs w:val="22"/>
        </w:rPr>
        <w:t xml:space="preserve"> HCT</w:t>
      </w:r>
    </w:p>
    <w:p w14:paraId="461BF182" w14:textId="5617A9DC" w:rsidR="00FF5DF8" w:rsidRDefault="00FF5DF8" w:rsidP="00D96E14">
      <w:pPr>
        <w:tabs>
          <w:tab w:val="left" w:pos="5760"/>
          <w:tab w:val="left" w:pos="8640"/>
        </w:tabs>
        <w:jc w:val="both"/>
        <w:rPr>
          <w:rFonts w:cs="Arial"/>
          <w:szCs w:val="22"/>
        </w:rPr>
      </w:pPr>
      <w:r w:rsidRPr="00062BD7">
        <w:rPr>
          <w:rFonts w:cs="Arial"/>
          <w:szCs w:val="22"/>
        </w:rPr>
        <w:t>Goals: To utilize highly purified CD4+CD25+CD127-FoxP3+ regulatory T cells in allogeneic hematopoietic cell transplantation clinical trials and assess their efficacy in preventing and treating graft vs host disease in the clinic.</w:t>
      </w:r>
    </w:p>
    <w:p w14:paraId="64DC31D0" w14:textId="6E6FF10B" w:rsidR="00454A57" w:rsidRDefault="00454A57" w:rsidP="00D96E14">
      <w:pPr>
        <w:tabs>
          <w:tab w:val="left" w:pos="5760"/>
          <w:tab w:val="left" w:pos="8640"/>
        </w:tabs>
        <w:jc w:val="both"/>
        <w:rPr>
          <w:rFonts w:cs="Arial"/>
          <w:szCs w:val="22"/>
        </w:rPr>
      </w:pPr>
    </w:p>
    <w:p w14:paraId="74E50598" w14:textId="77777777" w:rsidR="00454A57" w:rsidRPr="002F3506" w:rsidRDefault="00454A57" w:rsidP="00454A57">
      <w:pPr>
        <w:tabs>
          <w:tab w:val="left" w:pos="5760"/>
          <w:tab w:val="left" w:pos="8640"/>
        </w:tabs>
        <w:jc w:val="both"/>
        <w:rPr>
          <w:rFonts w:cs="Arial"/>
          <w:szCs w:val="22"/>
        </w:rPr>
      </w:pPr>
      <w:r w:rsidRPr="002F3506">
        <w:rPr>
          <w:rFonts w:cs="Arial"/>
          <w:szCs w:val="22"/>
        </w:rPr>
        <w:t>54179060LYM2008-BMT1651    Jagasia (PI)</w:t>
      </w:r>
      <w:r w:rsidRPr="002F3506">
        <w:rPr>
          <w:rFonts w:cs="Arial"/>
          <w:szCs w:val="22"/>
        </w:rPr>
        <w:tab/>
        <w:t>06/30/17-06/30/20</w:t>
      </w:r>
    </w:p>
    <w:p w14:paraId="1114974D" w14:textId="77777777" w:rsidR="00454A57" w:rsidRPr="002F3506" w:rsidRDefault="00454A57" w:rsidP="00454A57">
      <w:pPr>
        <w:tabs>
          <w:tab w:val="left" w:pos="5760"/>
          <w:tab w:val="left" w:pos="8640"/>
        </w:tabs>
        <w:jc w:val="both"/>
        <w:rPr>
          <w:rFonts w:cs="Arial"/>
          <w:szCs w:val="22"/>
        </w:rPr>
      </w:pPr>
      <w:r w:rsidRPr="002F3506">
        <w:rPr>
          <w:rFonts w:cs="Arial"/>
          <w:szCs w:val="22"/>
        </w:rPr>
        <w:t>Vanderbilt University (Janssen Scientific Affairs LLC)</w:t>
      </w:r>
    </w:p>
    <w:p w14:paraId="5DFD1AD8" w14:textId="77777777" w:rsidR="00454A57" w:rsidRPr="002F3506" w:rsidRDefault="00454A57" w:rsidP="00454A57">
      <w:pPr>
        <w:tabs>
          <w:tab w:val="left" w:pos="5760"/>
          <w:tab w:val="left" w:pos="8640"/>
        </w:tabs>
        <w:jc w:val="both"/>
        <w:rPr>
          <w:rFonts w:cs="Arial"/>
          <w:szCs w:val="22"/>
        </w:rPr>
      </w:pPr>
      <w:r w:rsidRPr="002F3506">
        <w:rPr>
          <w:rFonts w:cs="Arial"/>
          <w:szCs w:val="22"/>
        </w:rPr>
        <w:t>Optimizing Post-Allogeneic Hematopoietic Cell Transplant Outcomes for Lymphoma Using Ibrutinib</w:t>
      </w:r>
    </w:p>
    <w:p w14:paraId="51FBC14F" w14:textId="77777777" w:rsidR="00454A57" w:rsidRPr="002F3506" w:rsidRDefault="00454A57" w:rsidP="00454A57">
      <w:pPr>
        <w:tabs>
          <w:tab w:val="left" w:pos="5760"/>
          <w:tab w:val="left" w:pos="8640"/>
        </w:tabs>
        <w:jc w:val="both"/>
        <w:rPr>
          <w:rFonts w:cs="Arial"/>
          <w:szCs w:val="22"/>
        </w:rPr>
      </w:pPr>
      <w:r w:rsidRPr="002F3506">
        <w:rPr>
          <w:rFonts w:cs="Arial"/>
          <w:szCs w:val="22"/>
        </w:rPr>
        <w:t xml:space="preserve">Goals: Determine If Post </w:t>
      </w:r>
      <w:proofErr w:type="spellStart"/>
      <w:r w:rsidRPr="002F3506">
        <w:rPr>
          <w:rFonts w:cs="Arial"/>
          <w:szCs w:val="22"/>
        </w:rPr>
        <w:t>alloHCT</w:t>
      </w:r>
      <w:proofErr w:type="spellEnd"/>
      <w:r w:rsidRPr="002F3506">
        <w:rPr>
          <w:rFonts w:cs="Arial"/>
          <w:szCs w:val="22"/>
        </w:rPr>
        <w:t xml:space="preserve"> Ibrutinib decreases </w:t>
      </w:r>
      <w:proofErr w:type="spellStart"/>
      <w:r w:rsidRPr="002F3506">
        <w:rPr>
          <w:rFonts w:cs="Arial"/>
          <w:szCs w:val="22"/>
        </w:rPr>
        <w:t>cGVHD</w:t>
      </w:r>
      <w:proofErr w:type="spellEnd"/>
      <w:r w:rsidRPr="002F3506">
        <w:rPr>
          <w:rFonts w:cs="Arial"/>
          <w:szCs w:val="22"/>
        </w:rPr>
        <w:t xml:space="preserve"> and relapse </w:t>
      </w:r>
    </w:p>
    <w:p w14:paraId="4233E2AB" w14:textId="1E4A61CD" w:rsidR="00454A57" w:rsidRDefault="00454A57" w:rsidP="00454A57">
      <w:pPr>
        <w:tabs>
          <w:tab w:val="left" w:pos="5760"/>
          <w:tab w:val="left" w:pos="8640"/>
        </w:tabs>
        <w:spacing w:after="120"/>
        <w:jc w:val="both"/>
        <w:rPr>
          <w:rFonts w:cs="Arial"/>
          <w:szCs w:val="22"/>
        </w:rPr>
      </w:pPr>
      <w:r w:rsidRPr="002F3506">
        <w:rPr>
          <w:rFonts w:cs="Arial"/>
          <w:szCs w:val="22"/>
        </w:rPr>
        <w:t>Role: Clinical Site PI and overall correlative science Co-PI</w:t>
      </w:r>
    </w:p>
    <w:p w14:paraId="2696BAC9" w14:textId="77777777" w:rsidR="00454A57" w:rsidRPr="002F3506" w:rsidRDefault="00454A57" w:rsidP="00454A57">
      <w:pPr>
        <w:tabs>
          <w:tab w:val="left" w:pos="5760"/>
          <w:tab w:val="left" w:pos="8640"/>
        </w:tabs>
        <w:spacing w:after="120"/>
        <w:jc w:val="both"/>
        <w:rPr>
          <w:rFonts w:cs="Arial"/>
          <w:szCs w:val="22"/>
        </w:rPr>
      </w:pPr>
      <w:bookmarkStart w:id="5" w:name="_GoBack"/>
      <w:bookmarkEnd w:id="5"/>
    </w:p>
    <w:p w14:paraId="5E6639D7" w14:textId="77777777" w:rsidR="00454A57" w:rsidRPr="00062BD7" w:rsidRDefault="00454A57" w:rsidP="00454A57">
      <w:pPr>
        <w:tabs>
          <w:tab w:val="left" w:pos="720"/>
          <w:tab w:val="left" w:pos="1440"/>
          <w:tab w:val="left" w:pos="2160"/>
          <w:tab w:val="left" w:pos="2880"/>
          <w:tab w:val="left" w:pos="5760"/>
          <w:tab w:val="left" w:pos="7200"/>
          <w:tab w:val="left" w:pos="8640"/>
        </w:tabs>
        <w:jc w:val="both"/>
        <w:rPr>
          <w:rFonts w:cs="Arial"/>
          <w:szCs w:val="22"/>
        </w:rPr>
      </w:pPr>
      <w:r w:rsidRPr="00062BD7">
        <w:rPr>
          <w:rFonts w:cs="Arial"/>
          <w:szCs w:val="22"/>
          <w:lang w:val="pt-BR"/>
        </w:rPr>
        <w:t>BMT CTN PROTOCOL 1202</w:t>
      </w:r>
      <w:r w:rsidRPr="00062BD7">
        <w:rPr>
          <w:b/>
          <w:szCs w:val="20"/>
          <w:lang w:val="pt-BR"/>
        </w:rPr>
        <w:t xml:space="preserve"> </w:t>
      </w:r>
      <w:r w:rsidRPr="00062BD7">
        <w:rPr>
          <w:rFonts w:cs="Arial"/>
          <w:szCs w:val="22"/>
        </w:rPr>
        <w:t>(Miklos – 114379)</w:t>
      </w:r>
      <w:r w:rsidRPr="00062BD7">
        <w:rPr>
          <w:rFonts w:cs="Arial"/>
          <w:szCs w:val="22"/>
        </w:rPr>
        <w:tab/>
      </w:r>
      <w:r>
        <w:rPr>
          <w:rFonts w:cs="Arial"/>
          <w:szCs w:val="22"/>
        </w:rPr>
        <w:t>6/1/13 – 6</w:t>
      </w:r>
      <w:r w:rsidRPr="00062BD7">
        <w:rPr>
          <w:rFonts w:cs="Arial"/>
          <w:szCs w:val="22"/>
        </w:rPr>
        <w:t>/3</w:t>
      </w:r>
      <w:r>
        <w:rPr>
          <w:rFonts w:cs="Arial"/>
          <w:szCs w:val="22"/>
        </w:rPr>
        <w:t>0</w:t>
      </w:r>
      <w:r w:rsidRPr="00062BD7">
        <w:rPr>
          <w:rFonts w:cs="Arial"/>
          <w:szCs w:val="22"/>
        </w:rPr>
        <w:t>/1</w:t>
      </w:r>
      <w:r>
        <w:rPr>
          <w:rFonts w:cs="Arial"/>
          <w:szCs w:val="22"/>
        </w:rPr>
        <w:t>9</w:t>
      </w:r>
      <w:r w:rsidRPr="00062BD7">
        <w:rPr>
          <w:rFonts w:cs="Arial"/>
          <w:szCs w:val="22"/>
        </w:rPr>
        <w:tab/>
      </w:r>
    </w:p>
    <w:p w14:paraId="12C5CE5E" w14:textId="77777777" w:rsidR="00454A57" w:rsidRPr="00062BD7" w:rsidRDefault="00454A57" w:rsidP="00454A57">
      <w:pPr>
        <w:tabs>
          <w:tab w:val="left" w:pos="720"/>
          <w:tab w:val="left" w:pos="1440"/>
          <w:tab w:val="left" w:pos="2160"/>
          <w:tab w:val="left" w:pos="2880"/>
          <w:tab w:val="left" w:pos="5760"/>
          <w:tab w:val="left" w:pos="7200"/>
          <w:tab w:val="left" w:pos="8640"/>
        </w:tabs>
        <w:jc w:val="both"/>
        <w:rPr>
          <w:rFonts w:cs="Arial"/>
          <w:szCs w:val="22"/>
        </w:rPr>
      </w:pPr>
      <w:r w:rsidRPr="00062BD7">
        <w:rPr>
          <w:rFonts w:cs="Arial"/>
          <w:szCs w:val="22"/>
        </w:rPr>
        <w:t>NIH BMT Clinical Trials Network</w:t>
      </w:r>
      <w:r w:rsidRPr="00062BD7">
        <w:rPr>
          <w:rFonts w:cs="Arial"/>
          <w:szCs w:val="22"/>
        </w:rPr>
        <w:tab/>
      </w:r>
    </w:p>
    <w:p w14:paraId="498A96C8" w14:textId="77777777" w:rsidR="00454A57" w:rsidRPr="00062BD7" w:rsidRDefault="00454A57" w:rsidP="00454A57">
      <w:pPr>
        <w:widowControl w:val="0"/>
        <w:tabs>
          <w:tab w:val="left" w:pos="5760"/>
          <w:tab w:val="left" w:pos="8640"/>
        </w:tabs>
        <w:rPr>
          <w:rFonts w:cs="Arial"/>
          <w:szCs w:val="22"/>
          <w:lang w:val="pt-BR"/>
        </w:rPr>
      </w:pPr>
      <w:r w:rsidRPr="00062BD7">
        <w:rPr>
          <w:rFonts w:cs="Arial"/>
          <w:szCs w:val="22"/>
          <w:lang w:val="pt-BR"/>
        </w:rPr>
        <w:t>National Marrow Donor Program</w:t>
      </w:r>
    </w:p>
    <w:p w14:paraId="64C75E0E" w14:textId="77777777" w:rsidR="00454A57" w:rsidRPr="00062BD7" w:rsidRDefault="00454A57" w:rsidP="00454A57">
      <w:pPr>
        <w:widowControl w:val="0"/>
        <w:tabs>
          <w:tab w:val="left" w:pos="5760"/>
          <w:tab w:val="left" w:pos="8640"/>
        </w:tabs>
        <w:rPr>
          <w:rFonts w:cs="Arial"/>
          <w:szCs w:val="22"/>
        </w:rPr>
      </w:pPr>
      <w:r w:rsidRPr="00062BD7">
        <w:rPr>
          <w:rFonts w:cs="Arial"/>
          <w:szCs w:val="22"/>
          <w:lang w:val="x-none"/>
        </w:rPr>
        <w:t>Prospective Multi-Center Cohort for the Evaluation of Biomarkers Predicting Risk of Complications and Mortality Following Allogeneic HCT</w:t>
      </w:r>
      <w:r>
        <w:rPr>
          <w:rFonts w:cs="Arial"/>
          <w:szCs w:val="22"/>
        </w:rPr>
        <w:t xml:space="preserve">. </w:t>
      </w:r>
    </w:p>
    <w:p w14:paraId="4F703266" w14:textId="77777777" w:rsidR="00454A57" w:rsidRPr="00235BC1" w:rsidRDefault="00454A57" w:rsidP="00454A57">
      <w:pPr>
        <w:widowControl w:val="0"/>
        <w:tabs>
          <w:tab w:val="left" w:pos="5760"/>
          <w:tab w:val="left" w:pos="8640"/>
        </w:tabs>
        <w:rPr>
          <w:rFonts w:cs="Arial"/>
          <w:szCs w:val="22"/>
          <w:lang w:val="x-none"/>
        </w:rPr>
      </w:pPr>
      <w:r w:rsidRPr="00235BC1">
        <w:rPr>
          <w:rFonts w:cs="Arial"/>
          <w:szCs w:val="22"/>
          <w:lang w:val="x-none"/>
        </w:rPr>
        <w:t>Role: Site PI: Miklos</w:t>
      </w:r>
    </w:p>
    <w:p w14:paraId="577F3632" w14:textId="77777777" w:rsidR="00454A57" w:rsidRPr="002F3506" w:rsidRDefault="00454A57" w:rsidP="00D96E14">
      <w:pPr>
        <w:tabs>
          <w:tab w:val="left" w:pos="5760"/>
          <w:tab w:val="left" w:pos="8640"/>
        </w:tabs>
        <w:jc w:val="both"/>
        <w:rPr>
          <w:rFonts w:cs="Arial"/>
          <w:szCs w:val="22"/>
        </w:rPr>
      </w:pPr>
    </w:p>
    <w:sectPr w:rsidR="00454A57" w:rsidRPr="002F3506"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FD56" w14:textId="77777777" w:rsidR="005E1B1E" w:rsidRDefault="005E1B1E">
      <w:r>
        <w:separator/>
      </w:r>
    </w:p>
  </w:endnote>
  <w:endnote w:type="continuationSeparator" w:id="0">
    <w:p w14:paraId="15A62644" w14:textId="77777777" w:rsidR="005E1B1E" w:rsidRDefault="005E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4119" w14:textId="77777777" w:rsidR="005E1B1E" w:rsidRDefault="005E1B1E">
      <w:r>
        <w:separator/>
      </w:r>
    </w:p>
  </w:footnote>
  <w:footnote w:type="continuationSeparator" w:id="0">
    <w:p w14:paraId="46A23535" w14:textId="77777777" w:rsidR="005E1B1E" w:rsidRDefault="005E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56EF9"/>
    <w:multiLevelType w:val="hybridMultilevel"/>
    <w:tmpl w:val="44BE9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335A7"/>
    <w:multiLevelType w:val="multilevel"/>
    <w:tmpl w:val="FD2E9BBA"/>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123171"/>
    <w:multiLevelType w:val="hybridMultilevel"/>
    <w:tmpl w:val="3EC0BD8A"/>
    <w:lvl w:ilvl="0" w:tplc="55E481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C5320"/>
    <w:multiLevelType w:val="hybridMultilevel"/>
    <w:tmpl w:val="03764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43437"/>
    <w:multiLevelType w:val="hybridMultilevel"/>
    <w:tmpl w:val="68AC1240"/>
    <w:lvl w:ilvl="0" w:tplc="1CD46ED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BC1FF4"/>
    <w:multiLevelType w:val="hybridMultilevel"/>
    <w:tmpl w:val="5D96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7F513A"/>
    <w:multiLevelType w:val="hybridMultilevel"/>
    <w:tmpl w:val="A5F65FD6"/>
    <w:lvl w:ilvl="0" w:tplc="6310B7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F0568"/>
    <w:multiLevelType w:val="hybridMultilevel"/>
    <w:tmpl w:val="BD0E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81435"/>
    <w:multiLevelType w:val="hybridMultilevel"/>
    <w:tmpl w:val="0946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51B8D"/>
    <w:multiLevelType w:val="hybridMultilevel"/>
    <w:tmpl w:val="5EF66254"/>
    <w:lvl w:ilvl="0" w:tplc="8CC864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E7B03"/>
    <w:multiLevelType w:val="hybridMultilevel"/>
    <w:tmpl w:val="D5DC1028"/>
    <w:lvl w:ilvl="0" w:tplc="0409000F">
      <w:start w:val="2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A44F9A"/>
    <w:multiLevelType w:val="hybridMultilevel"/>
    <w:tmpl w:val="5B8E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15:restartNumberingAfterBreak="0">
    <w:nsid w:val="586A12BC"/>
    <w:multiLevelType w:val="hybridMultilevel"/>
    <w:tmpl w:val="D4487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654BC"/>
    <w:multiLevelType w:val="hybridMultilevel"/>
    <w:tmpl w:val="ABA211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C00D3"/>
    <w:multiLevelType w:val="hybridMultilevel"/>
    <w:tmpl w:val="693EEDAC"/>
    <w:lvl w:ilvl="0" w:tplc="D8304F4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87507"/>
    <w:multiLevelType w:val="singleLevel"/>
    <w:tmpl w:val="B1522BD4"/>
    <w:lvl w:ilvl="0">
      <w:start w:val="1"/>
      <w:numFmt w:val="decimal"/>
      <w:lvlText w:val="%1."/>
      <w:legacy w:legacy="1" w:legacySpace="120" w:legacyIndent="360"/>
      <w:lvlJc w:val="left"/>
      <w:pPr>
        <w:ind w:left="720" w:hanging="360"/>
      </w:pPr>
    </w:lvl>
  </w:abstractNum>
  <w:abstractNum w:abstractNumId="32" w15:restartNumberingAfterBreak="0">
    <w:nsid w:val="68F37928"/>
    <w:multiLevelType w:val="singleLevel"/>
    <w:tmpl w:val="F1887FE2"/>
    <w:lvl w:ilvl="0">
      <w:start w:val="1"/>
      <w:numFmt w:val="decimal"/>
      <w:lvlText w:val="%1."/>
      <w:legacy w:legacy="1" w:legacySpace="120" w:legacyIndent="360"/>
      <w:lvlJc w:val="left"/>
      <w:pPr>
        <w:ind w:left="720" w:hanging="360"/>
      </w:pPr>
      <w:rPr>
        <w:i w:val="0"/>
      </w:rPr>
    </w:lvl>
  </w:abstractNum>
  <w:abstractNum w:abstractNumId="3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E298B"/>
    <w:multiLevelType w:val="hybridMultilevel"/>
    <w:tmpl w:val="05027D34"/>
    <w:lvl w:ilvl="0" w:tplc="B16AC4E2">
      <w:start w:val="1"/>
      <w:numFmt w:val="decimal"/>
      <w:lvlText w:val="%1."/>
      <w:lvlJc w:val="right"/>
      <w:pPr>
        <w:tabs>
          <w:tab w:val="num" w:pos="360"/>
        </w:tabs>
        <w:ind w:left="360" w:hanging="72"/>
      </w:pPr>
      <w:rPr>
        <w:rFonts w:ascii="Arial" w:hAnsi="Arial" w:hint="default"/>
        <w:b w:val="0"/>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9452761"/>
    <w:multiLevelType w:val="hybridMultilevel"/>
    <w:tmpl w:val="8B166E9C"/>
    <w:lvl w:ilvl="0" w:tplc="A61E4FE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84916"/>
    <w:multiLevelType w:val="hybridMultilevel"/>
    <w:tmpl w:val="DD6C15C2"/>
    <w:lvl w:ilvl="0" w:tplc="B16AC4E2">
      <w:start w:val="1"/>
      <w:numFmt w:val="decimal"/>
      <w:lvlText w:val="%1."/>
      <w:lvlJc w:val="right"/>
      <w:pPr>
        <w:tabs>
          <w:tab w:val="num" w:pos="360"/>
        </w:tabs>
        <w:ind w:left="360" w:hanging="72"/>
      </w:pPr>
      <w:rPr>
        <w:rFonts w:ascii="Arial" w:hAnsi="Arial" w:hint="default"/>
        <w:b w:val="0"/>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7"/>
  </w:num>
  <w:num w:numId="13">
    <w:abstractNumId w:val="17"/>
  </w:num>
  <w:num w:numId="14">
    <w:abstractNumId w:val="36"/>
  </w:num>
  <w:num w:numId="15">
    <w:abstractNumId w:val="33"/>
  </w:num>
  <w:num w:numId="16">
    <w:abstractNumId w:val="35"/>
  </w:num>
  <w:num w:numId="17">
    <w:abstractNumId w:val="10"/>
  </w:num>
  <w:num w:numId="18">
    <w:abstractNumId w:val="24"/>
  </w:num>
  <w:num w:numId="19">
    <w:abstractNumId w:val="18"/>
  </w:num>
  <w:num w:numId="20">
    <w:abstractNumId w:val="26"/>
  </w:num>
  <w:num w:numId="21">
    <w:abstractNumId w:val="14"/>
  </w:num>
  <w:num w:numId="22">
    <w:abstractNumId w:val="19"/>
  </w:num>
  <w:num w:numId="23">
    <w:abstractNumId w:val="12"/>
  </w:num>
  <w:num w:numId="24">
    <w:abstractNumId w:val="34"/>
  </w:num>
  <w:num w:numId="25">
    <w:abstractNumId w:val="2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38"/>
  </w:num>
  <w:num w:numId="29">
    <w:abstractNumId w:val="32"/>
  </w:num>
  <w:num w:numId="30">
    <w:abstractNumId w:val="31"/>
  </w:num>
  <w:num w:numId="31">
    <w:abstractNumId w:val="15"/>
  </w:num>
  <w:num w:numId="32">
    <w:abstractNumId w:val="37"/>
  </w:num>
  <w:num w:numId="33">
    <w:abstractNumId w:val="13"/>
  </w:num>
  <w:num w:numId="34">
    <w:abstractNumId w:val="30"/>
  </w:num>
  <w:num w:numId="35">
    <w:abstractNumId w:val="22"/>
  </w:num>
  <w:num w:numId="36">
    <w:abstractNumId w:val="20"/>
  </w:num>
  <w:num w:numId="37">
    <w:abstractNumId w:val="25"/>
  </w:num>
  <w:num w:numId="38">
    <w:abstractNumId w:val="21"/>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5"/>
  <w:drawingGridVerticalSpacing w:val="115"/>
  <w:displayHorizontalDrawingGridEvery w:val="0"/>
  <w:displayVerticalDrawingGridEvery w:val="3"/>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27A8C"/>
    <w:rsid w:val="000464BA"/>
    <w:rsid w:val="00067621"/>
    <w:rsid w:val="00072D72"/>
    <w:rsid w:val="000C037C"/>
    <w:rsid w:val="000C6AD3"/>
    <w:rsid w:val="000F1748"/>
    <w:rsid w:val="00122EB3"/>
    <w:rsid w:val="00132CA6"/>
    <w:rsid w:val="00133190"/>
    <w:rsid w:val="001344A1"/>
    <w:rsid w:val="0014571A"/>
    <w:rsid w:val="00170D87"/>
    <w:rsid w:val="00177D49"/>
    <w:rsid w:val="00235BC1"/>
    <w:rsid w:val="00240E97"/>
    <w:rsid w:val="00241711"/>
    <w:rsid w:val="002429E9"/>
    <w:rsid w:val="00262874"/>
    <w:rsid w:val="0028051C"/>
    <w:rsid w:val="002D7520"/>
    <w:rsid w:val="002E14F2"/>
    <w:rsid w:val="002E5125"/>
    <w:rsid w:val="002F3506"/>
    <w:rsid w:val="002F478E"/>
    <w:rsid w:val="002F4944"/>
    <w:rsid w:val="00314BFD"/>
    <w:rsid w:val="00321A19"/>
    <w:rsid w:val="003421EA"/>
    <w:rsid w:val="00344848"/>
    <w:rsid w:val="0035045F"/>
    <w:rsid w:val="0036582F"/>
    <w:rsid w:val="0037667F"/>
    <w:rsid w:val="00382AB6"/>
    <w:rsid w:val="00383712"/>
    <w:rsid w:val="003A769E"/>
    <w:rsid w:val="003C2647"/>
    <w:rsid w:val="003C5C21"/>
    <w:rsid w:val="003C62D6"/>
    <w:rsid w:val="003D0637"/>
    <w:rsid w:val="003D2399"/>
    <w:rsid w:val="003E1568"/>
    <w:rsid w:val="003F6A45"/>
    <w:rsid w:val="00424380"/>
    <w:rsid w:val="00432346"/>
    <w:rsid w:val="00440ED6"/>
    <w:rsid w:val="00447F3A"/>
    <w:rsid w:val="00454A57"/>
    <w:rsid w:val="00455189"/>
    <w:rsid w:val="00466E93"/>
    <w:rsid w:val="004759D9"/>
    <w:rsid w:val="0049068A"/>
    <w:rsid w:val="00495A42"/>
    <w:rsid w:val="004A3FC8"/>
    <w:rsid w:val="004A4402"/>
    <w:rsid w:val="004F4C30"/>
    <w:rsid w:val="004F644D"/>
    <w:rsid w:val="00502E92"/>
    <w:rsid w:val="00503A1D"/>
    <w:rsid w:val="00503B57"/>
    <w:rsid w:val="005139D8"/>
    <w:rsid w:val="005145BB"/>
    <w:rsid w:val="00517BFD"/>
    <w:rsid w:val="0054471F"/>
    <w:rsid w:val="00547AC9"/>
    <w:rsid w:val="00565838"/>
    <w:rsid w:val="00580DD3"/>
    <w:rsid w:val="00592740"/>
    <w:rsid w:val="005C2BDD"/>
    <w:rsid w:val="005C47A8"/>
    <w:rsid w:val="005E1B1E"/>
    <w:rsid w:val="005E406E"/>
    <w:rsid w:val="005E7763"/>
    <w:rsid w:val="005F5F51"/>
    <w:rsid w:val="00601C69"/>
    <w:rsid w:val="00616BCC"/>
    <w:rsid w:val="00624261"/>
    <w:rsid w:val="00641FD8"/>
    <w:rsid w:val="00644002"/>
    <w:rsid w:val="00646AF9"/>
    <w:rsid w:val="00650611"/>
    <w:rsid w:val="006609B6"/>
    <w:rsid w:val="006850B5"/>
    <w:rsid w:val="0068699D"/>
    <w:rsid w:val="006936A8"/>
    <w:rsid w:val="006A353C"/>
    <w:rsid w:val="006A56FC"/>
    <w:rsid w:val="006B2D1C"/>
    <w:rsid w:val="006C046C"/>
    <w:rsid w:val="006C1E1F"/>
    <w:rsid w:val="006D0C60"/>
    <w:rsid w:val="007050F5"/>
    <w:rsid w:val="0071140F"/>
    <w:rsid w:val="00722C8F"/>
    <w:rsid w:val="007555C2"/>
    <w:rsid w:val="00772E9D"/>
    <w:rsid w:val="0077780C"/>
    <w:rsid w:val="00781234"/>
    <w:rsid w:val="00786085"/>
    <w:rsid w:val="007B7AF3"/>
    <w:rsid w:val="00800213"/>
    <w:rsid w:val="008073EB"/>
    <w:rsid w:val="00812185"/>
    <w:rsid w:val="00817055"/>
    <w:rsid w:val="00843027"/>
    <w:rsid w:val="00862E87"/>
    <w:rsid w:val="00874EBC"/>
    <w:rsid w:val="008C7FEA"/>
    <w:rsid w:val="009054EA"/>
    <w:rsid w:val="009211D3"/>
    <w:rsid w:val="00934124"/>
    <w:rsid w:val="009432D9"/>
    <w:rsid w:val="00950FEB"/>
    <w:rsid w:val="00952A27"/>
    <w:rsid w:val="00961B6B"/>
    <w:rsid w:val="00983BFB"/>
    <w:rsid w:val="00992D78"/>
    <w:rsid w:val="009D7E97"/>
    <w:rsid w:val="009E294F"/>
    <w:rsid w:val="009E52CA"/>
    <w:rsid w:val="009F38DC"/>
    <w:rsid w:val="009F4F2E"/>
    <w:rsid w:val="009F72E5"/>
    <w:rsid w:val="009F77FA"/>
    <w:rsid w:val="00A04942"/>
    <w:rsid w:val="00A04B52"/>
    <w:rsid w:val="00A1469B"/>
    <w:rsid w:val="00A14EF5"/>
    <w:rsid w:val="00A26D0F"/>
    <w:rsid w:val="00A3122A"/>
    <w:rsid w:val="00A35273"/>
    <w:rsid w:val="00A42D9B"/>
    <w:rsid w:val="00A7514C"/>
    <w:rsid w:val="00A8122C"/>
    <w:rsid w:val="00A83312"/>
    <w:rsid w:val="00A93453"/>
    <w:rsid w:val="00AD4B10"/>
    <w:rsid w:val="00AE41C4"/>
    <w:rsid w:val="00AE686E"/>
    <w:rsid w:val="00AF6464"/>
    <w:rsid w:val="00B03B66"/>
    <w:rsid w:val="00B42C60"/>
    <w:rsid w:val="00B64BB6"/>
    <w:rsid w:val="00B77729"/>
    <w:rsid w:val="00B902BB"/>
    <w:rsid w:val="00B929F5"/>
    <w:rsid w:val="00BB5B75"/>
    <w:rsid w:val="00BE1077"/>
    <w:rsid w:val="00C00F42"/>
    <w:rsid w:val="00C05C55"/>
    <w:rsid w:val="00C0692F"/>
    <w:rsid w:val="00C076C6"/>
    <w:rsid w:val="00C111C1"/>
    <w:rsid w:val="00C137DA"/>
    <w:rsid w:val="00C3113F"/>
    <w:rsid w:val="00C445AC"/>
    <w:rsid w:val="00C4536F"/>
    <w:rsid w:val="00C46ADA"/>
    <w:rsid w:val="00C4739B"/>
    <w:rsid w:val="00C55ABE"/>
    <w:rsid w:val="00C56C04"/>
    <w:rsid w:val="00C624BE"/>
    <w:rsid w:val="00C85025"/>
    <w:rsid w:val="00C918BD"/>
    <w:rsid w:val="00CA680A"/>
    <w:rsid w:val="00CC0F25"/>
    <w:rsid w:val="00CC336D"/>
    <w:rsid w:val="00CC6052"/>
    <w:rsid w:val="00CD0771"/>
    <w:rsid w:val="00CE0951"/>
    <w:rsid w:val="00CE70C1"/>
    <w:rsid w:val="00CF68A2"/>
    <w:rsid w:val="00D00945"/>
    <w:rsid w:val="00D33E8C"/>
    <w:rsid w:val="00D42496"/>
    <w:rsid w:val="00D51DC4"/>
    <w:rsid w:val="00D679E5"/>
    <w:rsid w:val="00D74391"/>
    <w:rsid w:val="00D825A1"/>
    <w:rsid w:val="00D83360"/>
    <w:rsid w:val="00D9617D"/>
    <w:rsid w:val="00D96E14"/>
    <w:rsid w:val="00DB7B85"/>
    <w:rsid w:val="00DD31B4"/>
    <w:rsid w:val="00DF27A9"/>
    <w:rsid w:val="00DF7645"/>
    <w:rsid w:val="00E127A1"/>
    <w:rsid w:val="00E355C2"/>
    <w:rsid w:val="00E37E57"/>
    <w:rsid w:val="00E53B95"/>
    <w:rsid w:val="00E67A05"/>
    <w:rsid w:val="00E74AB7"/>
    <w:rsid w:val="00E803F9"/>
    <w:rsid w:val="00E81FE1"/>
    <w:rsid w:val="00E8668F"/>
    <w:rsid w:val="00E90203"/>
    <w:rsid w:val="00EA0405"/>
    <w:rsid w:val="00EA2A0B"/>
    <w:rsid w:val="00EC5809"/>
    <w:rsid w:val="00EE27AA"/>
    <w:rsid w:val="00EF4C32"/>
    <w:rsid w:val="00EF69CD"/>
    <w:rsid w:val="00F02126"/>
    <w:rsid w:val="00F07AB3"/>
    <w:rsid w:val="00F262AB"/>
    <w:rsid w:val="00F7284D"/>
    <w:rsid w:val="00FA00C6"/>
    <w:rsid w:val="00FF1D5B"/>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F5C490"/>
  <w15:docId w15:val="{0D9E4EBB-065A-4436-BA15-C91C087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link w:val="Heading2Char"/>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SECTIONAText">
    <w:name w:val="SECTION A Text"/>
    <w:basedOn w:val="DataField11pt-Single"/>
    <w:rsid w:val="009E294F"/>
    <w:pPr>
      <w:tabs>
        <w:tab w:val="left" w:pos="1620"/>
      </w:tabs>
      <w:spacing w:line="240" w:lineRule="exact"/>
      <w:ind w:left="1627" w:hanging="1440"/>
    </w:pPr>
    <w:rPr>
      <w:rFonts w:cs="Times New Roman"/>
    </w:rPr>
  </w:style>
  <w:style w:type="paragraph" w:styleId="BodyText">
    <w:name w:val="Body Text"/>
    <w:basedOn w:val="Normal"/>
    <w:link w:val="BodyTextChar"/>
    <w:rsid w:val="009E294F"/>
    <w:pPr>
      <w:spacing w:after="120"/>
    </w:pPr>
    <w:rPr>
      <w:rFonts w:ascii="Times" w:hAnsi="Times"/>
      <w:sz w:val="24"/>
    </w:rPr>
  </w:style>
  <w:style w:type="character" w:customStyle="1" w:styleId="BodyTextChar">
    <w:name w:val="Body Text Char"/>
    <w:basedOn w:val="DefaultParagraphFont"/>
    <w:link w:val="BodyText"/>
    <w:rsid w:val="009E294F"/>
    <w:rPr>
      <w:rFonts w:ascii="Times" w:hAnsi="Times"/>
      <w:sz w:val="24"/>
      <w:szCs w:val="24"/>
    </w:rPr>
  </w:style>
  <w:style w:type="character" w:customStyle="1" w:styleId="clsstaticdata1">
    <w:name w:val="clsstaticdata1"/>
    <w:rsid w:val="009E294F"/>
    <w:rPr>
      <w:rFonts w:ascii="Arial" w:hAnsi="Arial" w:cs="Arial" w:hint="default"/>
      <w:color w:val="000000"/>
      <w:sz w:val="18"/>
      <w:szCs w:val="18"/>
    </w:rPr>
  </w:style>
  <w:style w:type="paragraph" w:customStyle="1" w:styleId="references">
    <w:name w:val="references"/>
    <w:basedOn w:val="Normal"/>
    <w:rsid w:val="009E294F"/>
    <w:pPr>
      <w:autoSpaceDE/>
      <w:autoSpaceDN/>
      <w:ind w:left="360" w:hanging="360"/>
    </w:pPr>
    <w:rPr>
      <w:rFonts w:ascii="Times" w:hAnsi="Times" w:cs="Times"/>
      <w:sz w:val="24"/>
    </w:rPr>
  </w:style>
  <w:style w:type="paragraph" w:styleId="PlainText">
    <w:name w:val="Plain Text"/>
    <w:basedOn w:val="Normal"/>
    <w:link w:val="PlainTextChar"/>
    <w:uiPriority w:val="99"/>
    <w:unhideWhenUsed/>
    <w:rsid w:val="009E294F"/>
    <w:pPr>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E294F"/>
    <w:rPr>
      <w:rFonts w:ascii="Consolas" w:eastAsia="Calibri" w:hAnsi="Consolas"/>
      <w:sz w:val="21"/>
      <w:szCs w:val="21"/>
      <w:lang w:val="x-none" w:eastAsia="x-none"/>
    </w:rPr>
  </w:style>
  <w:style w:type="character" w:customStyle="1" w:styleId="src1">
    <w:name w:val="src1"/>
    <w:rsid w:val="003D0637"/>
    <w:rPr>
      <w:vanish w:val="0"/>
      <w:webHidden w:val="0"/>
      <w:specVanish w:val="0"/>
    </w:rPr>
  </w:style>
  <w:style w:type="character" w:customStyle="1" w:styleId="jrnl">
    <w:name w:val="jrnl"/>
    <w:basedOn w:val="DefaultParagraphFont"/>
    <w:rsid w:val="003D0637"/>
  </w:style>
  <w:style w:type="character" w:customStyle="1" w:styleId="rprtid1">
    <w:name w:val="rprtid1"/>
    <w:rsid w:val="003D0637"/>
    <w:rPr>
      <w:vanish w:val="0"/>
      <w:webHidden w:val="0"/>
      <w:color w:val="696969"/>
      <w:specVanish w:val="0"/>
    </w:rPr>
  </w:style>
  <w:style w:type="paragraph" w:customStyle="1" w:styleId="TableDataLeft">
    <w:name w:val="Table Data Left"/>
    <w:basedOn w:val="Normal"/>
    <w:rsid w:val="00C624BE"/>
    <w:pPr>
      <w:autoSpaceDE/>
      <w:autoSpaceDN/>
    </w:pPr>
    <w:rPr>
      <w:sz w:val="20"/>
      <w:szCs w:val="20"/>
    </w:rPr>
  </w:style>
  <w:style w:type="paragraph" w:styleId="DocumentMap">
    <w:name w:val="Document Map"/>
    <w:basedOn w:val="Normal"/>
    <w:link w:val="DocumentMapChar"/>
    <w:rsid w:val="00C624BE"/>
    <w:pPr>
      <w:autoSpaceDE/>
      <w:autoSpaceDN/>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C624BE"/>
    <w:rPr>
      <w:rFonts w:ascii="Tahoma" w:eastAsia="Calibri" w:hAnsi="Tahoma" w:cs="Tahoma"/>
      <w:sz w:val="16"/>
      <w:szCs w:val="16"/>
    </w:rPr>
  </w:style>
  <w:style w:type="character" w:customStyle="1" w:styleId="pmcid">
    <w:name w:val="pmcid"/>
    <w:basedOn w:val="DefaultParagraphFont"/>
    <w:rsid w:val="00D00945"/>
  </w:style>
  <w:style w:type="character" w:customStyle="1" w:styleId="apple-converted-space">
    <w:name w:val="apple-converted-space"/>
    <w:rsid w:val="00D00945"/>
  </w:style>
  <w:style w:type="character" w:customStyle="1" w:styleId="volume">
    <w:name w:val="volume"/>
    <w:basedOn w:val="DefaultParagraphFont"/>
    <w:rsid w:val="00AF6464"/>
  </w:style>
  <w:style w:type="character" w:customStyle="1" w:styleId="pages">
    <w:name w:val="pages"/>
    <w:basedOn w:val="DefaultParagraphFont"/>
    <w:rsid w:val="00AF6464"/>
  </w:style>
  <w:style w:type="character" w:customStyle="1" w:styleId="HeaderChar">
    <w:name w:val="Header Char"/>
    <w:link w:val="Header"/>
    <w:uiPriority w:val="99"/>
    <w:rsid w:val="00AF6464"/>
    <w:rPr>
      <w:rFonts w:ascii="Arial" w:hAnsi="Arial"/>
      <w:sz w:val="22"/>
      <w:szCs w:val="24"/>
    </w:rPr>
  </w:style>
  <w:style w:type="character" w:customStyle="1" w:styleId="journalname">
    <w:name w:val="journalname"/>
    <w:basedOn w:val="DefaultParagraphFont"/>
    <w:rsid w:val="00AF6464"/>
  </w:style>
  <w:style w:type="character" w:customStyle="1" w:styleId="apple-style-span">
    <w:name w:val="apple-style-span"/>
    <w:basedOn w:val="DefaultParagraphFont"/>
    <w:rsid w:val="00AF6464"/>
  </w:style>
  <w:style w:type="character" w:customStyle="1" w:styleId="Heading2Char">
    <w:name w:val="Heading 2 Char"/>
    <w:basedOn w:val="DefaultParagraphFont"/>
    <w:link w:val="Heading2"/>
    <w:rsid w:val="00BB5B75"/>
    <w:rPr>
      <w:rFonts w:ascii="Arial" w:hAnsi="Arial"/>
      <w:b/>
      <w:bCs/>
      <w:sz w:val="22"/>
      <w:u w:val="single"/>
    </w:rPr>
  </w:style>
  <w:style w:type="paragraph" w:styleId="Footer">
    <w:name w:val="footer"/>
    <w:basedOn w:val="Normal"/>
    <w:link w:val="FooterChar"/>
    <w:semiHidden/>
    <w:unhideWhenUsed/>
    <w:rsid w:val="00644002"/>
    <w:pPr>
      <w:tabs>
        <w:tab w:val="center" w:pos="4680"/>
        <w:tab w:val="right" w:pos="9360"/>
      </w:tabs>
    </w:pPr>
  </w:style>
  <w:style w:type="character" w:customStyle="1" w:styleId="FooterChar">
    <w:name w:val="Footer Char"/>
    <w:basedOn w:val="DefaultParagraphFont"/>
    <w:link w:val="Footer"/>
    <w:semiHidden/>
    <w:rsid w:val="00644002"/>
    <w:rPr>
      <w:rFonts w:ascii="Arial" w:hAnsi="Arial"/>
      <w:sz w:val="22"/>
      <w:szCs w:val="24"/>
    </w:rPr>
  </w:style>
  <w:style w:type="character" w:styleId="UnresolvedMention">
    <w:name w:val="Unresolved Mention"/>
    <w:basedOn w:val="DefaultParagraphFont"/>
    <w:uiPriority w:val="99"/>
    <w:semiHidden/>
    <w:unhideWhenUsed/>
    <w:rsid w:val="0045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31418013">
      <w:bodyDiv w:val="1"/>
      <w:marLeft w:val="0"/>
      <w:marRight w:val="0"/>
      <w:marTop w:val="0"/>
      <w:marBottom w:val="0"/>
      <w:divBdr>
        <w:top w:val="none" w:sz="0" w:space="0" w:color="auto"/>
        <w:left w:val="none" w:sz="0" w:space="0" w:color="auto"/>
        <w:bottom w:val="none" w:sz="0" w:space="0" w:color="auto"/>
        <w:right w:val="none" w:sz="0" w:space="0" w:color="auto"/>
      </w:divBdr>
    </w:div>
    <w:div w:id="39549660">
      <w:bodyDiv w:val="1"/>
      <w:marLeft w:val="0"/>
      <w:marRight w:val="0"/>
      <w:marTop w:val="0"/>
      <w:marBottom w:val="0"/>
      <w:divBdr>
        <w:top w:val="none" w:sz="0" w:space="0" w:color="auto"/>
        <w:left w:val="none" w:sz="0" w:space="0" w:color="auto"/>
        <w:bottom w:val="none" w:sz="0" w:space="0" w:color="auto"/>
        <w:right w:val="none" w:sz="0" w:space="0" w:color="auto"/>
      </w:divBdr>
    </w:div>
    <w:div w:id="212892824">
      <w:bodyDiv w:val="1"/>
      <w:marLeft w:val="0"/>
      <w:marRight w:val="0"/>
      <w:marTop w:val="0"/>
      <w:marBottom w:val="0"/>
      <w:divBdr>
        <w:top w:val="none" w:sz="0" w:space="0" w:color="auto"/>
        <w:left w:val="none" w:sz="0" w:space="0" w:color="auto"/>
        <w:bottom w:val="none" w:sz="0" w:space="0" w:color="auto"/>
        <w:right w:val="none" w:sz="0" w:space="0" w:color="auto"/>
      </w:divBdr>
    </w:div>
    <w:div w:id="391580197">
      <w:bodyDiv w:val="1"/>
      <w:marLeft w:val="0"/>
      <w:marRight w:val="0"/>
      <w:marTop w:val="0"/>
      <w:marBottom w:val="0"/>
      <w:divBdr>
        <w:top w:val="none" w:sz="0" w:space="0" w:color="auto"/>
        <w:left w:val="none" w:sz="0" w:space="0" w:color="auto"/>
        <w:bottom w:val="none" w:sz="0" w:space="0" w:color="auto"/>
        <w:right w:val="none" w:sz="0" w:space="0" w:color="auto"/>
      </w:divBdr>
    </w:div>
    <w:div w:id="647055092">
      <w:bodyDiv w:val="1"/>
      <w:marLeft w:val="0"/>
      <w:marRight w:val="0"/>
      <w:marTop w:val="0"/>
      <w:marBottom w:val="0"/>
      <w:divBdr>
        <w:top w:val="none" w:sz="0" w:space="0" w:color="auto"/>
        <w:left w:val="none" w:sz="0" w:space="0" w:color="auto"/>
        <w:bottom w:val="none" w:sz="0" w:space="0" w:color="auto"/>
        <w:right w:val="none" w:sz="0" w:space="0" w:color="auto"/>
      </w:divBdr>
    </w:div>
    <w:div w:id="1102413389">
      <w:bodyDiv w:val="1"/>
      <w:marLeft w:val="0"/>
      <w:marRight w:val="0"/>
      <w:marTop w:val="0"/>
      <w:marBottom w:val="0"/>
      <w:divBdr>
        <w:top w:val="none" w:sz="0" w:space="0" w:color="auto"/>
        <w:left w:val="none" w:sz="0" w:space="0" w:color="auto"/>
        <w:bottom w:val="none" w:sz="0" w:space="0" w:color="auto"/>
        <w:right w:val="none" w:sz="0" w:space="0" w:color="auto"/>
      </w:divBdr>
    </w:div>
    <w:div w:id="1425607291">
      <w:bodyDiv w:val="1"/>
      <w:marLeft w:val="0"/>
      <w:marRight w:val="0"/>
      <w:marTop w:val="0"/>
      <w:marBottom w:val="0"/>
      <w:divBdr>
        <w:top w:val="none" w:sz="0" w:space="0" w:color="auto"/>
        <w:left w:val="none" w:sz="0" w:space="0" w:color="auto"/>
        <w:bottom w:val="none" w:sz="0" w:space="0" w:color="auto"/>
        <w:right w:val="none" w:sz="0" w:space="0" w:color="auto"/>
      </w:divBdr>
    </w:div>
    <w:div w:id="14572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Logan+AC%2C+Zhang+B%2C+Narasimhan+B%2C+Carlton+V%2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60330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term=Ibrutinib+for+chronic+graft-versus-host+disease+after+failure+of+prior+therap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term=Miklos%2C+Davi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CE26-06FF-4835-817C-1A5CD3E7E1B8}">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97b54082-1e85-426d-afc6-16ad99d216c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BAEC5-B338-4503-A4FD-82E01D1E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14643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16949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David Miklos</cp:lastModifiedBy>
  <cp:revision>2</cp:revision>
  <cp:lastPrinted>2017-09-09T19:41:00Z</cp:lastPrinted>
  <dcterms:created xsi:type="dcterms:W3CDTF">2020-11-02T22:04:00Z</dcterms:created>
  <dcterms:modified xsi:type="dcterms:W3CDTF">2020-11-02T22:04:00Z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