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77777777" w:rsidR="00321A19" w:rsidRDefault="00321A19" w:rsidP="00321A19">
      <w:pPr>
        <w:pStyle w:val="OMBInfo"/>
      </w:pPr>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1BF32565" w:rsidR="00812185" w:rsidRPr="00D51DC4" w:rsidRDefault="00812185" w:rsidP="00812185">
      <w:pPr>
        <w:pStyle w:val="FormFieldCaption1"/>
        <w:pBdr>
          <w:between w:val="single" w:sz="4" w:space="1" w:color="auto"/>
        </w:pBdr>
        <w:rPr>
          <w:sz w:val="32"/>
          <w:szCs w:val="20"/>
        </w:rPr>
      </w:pPr>
      <w:r w:rsidRPr="00D51DC4">
        <w:rPr>
          <w:sz w:val="22"/>
        </w:rPr>
        <w:t>NAME:</w:t>
      </w:r>
      <w:r w:rsidR="00AE0C01">
        <w:rPr>
          <w:sz w:val="22"/>
        </w:rPr>
        <w:t xml:space="preserve"> </w:t>
      </w:r>
      <w:r w:rsidR="00787826">
        <w:rPr>
          <w:sz w:val="22"/>
        </w:rPr>
        <w:t>Bradley Efron</w:t>
      </w:r>
    </w:p>
    <w:p w14:paraId="39FFD988" w14:textId="7E16ED3D"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r w:rsidR="00AE0C01">
        <w:rPr>
          <w:sz w:val="22"/>
        </w:rPr>
        <w:t xml:space="preserve"> </w:t>
      </w:r>
      <w:r w:rsidR="00787826">
        <w:rPr>
          <w:sz w:val="22"/>
        </w:rPr>
        <w:t>EFRON, BRADLEY</w:t>
      </w:r>
    </w:p>
    <w:p w14:paraId="0A2AD4B2" w14:textId="7E84453F" w:rsidR="00812185" w:rsidRPr="00D51DC4" w:rsidRDefault="00812185" w:rsidP="00812185">
      <w:pPr>
        <w:pStyle w:val="FormFieldCaption1"/>
        <w:pBdr>
          <w:between w:val="single" w:sz="4" w:space="1" w:color="auto"/>
        </w:pBdr>
        <w:rPr>
          <w:sz w:val="32"/>
        </w:rPr>
      </w:pPr>
      <w:r w:rsidRPr="00D51DC4">
        <w:rPr>
          <w:sz w:val="22"/>
        </w:rPr>
        <w:t>POSITION TITLE:</w:t>
      </w:r>
      <w:r w:rsidR="00AE0C01">
        <w:rPr>
          <w:sz w:val="22"/>
        </w:rPr>
        <w:t xml:space="preserve"> </w:t>
      </w:r>
      <w:r w:rsidR="00787826" w:rsidRPr="00787826">
        <w:rPr>
          <w:sz w:val="22"/>
        </w:rPr>
        <w:t>School of Humanities and Sciences Max H. Stein</w:t>
      </w:r>
      <w:r w:rsidR="00787826">
        <w:rPr>
          <w:sz w:val="22"/>
        </w:rPr>
        <w:t xml:space="preserve"> Professor of Statistics and Biostatistics</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rsidRPr="00D51DC4" w14:paraId="47316B55" w14:textId="77777777" w:rsidTr="001869B9">
        <w:trPr>
          <w:cantSplit/>
          <w:tblHeader/>
        </w:trPr>
        <w:tc>
          <w:tcPr>
            <w:tcW w:w="5395" w:type="dxa"/>
            <w:tcBorders>
              <w:top w:val="single" w:sz="4" w:space="0" w:color="auto"/>
              <w:bottom w:val="single" w:sz="4" w:space="0" w:color="auto"/>
            </w:tcBorders>
            <w:vAlign w:val="center"/>
          </w:tcPr>
          <w:p w14:paraId="347E21CF" w14:textId="702EA885" w:rsidR="00D825A1" w:rsidRPr="00D51DC4" w:rsidRDefault="00D825A1" w:rsidP="00E37E57">
            <w:pPr>
              <w:pStyle w:val="FormFieldCaption"/>
              <w:jc w:val="center"/>
              <w:rPr>
                <w:sz w:val="22"/>
              </w:rPr>
            </w:pPr>
            <w:r w:rsidRPr="00D51DC4">
              <w:rPr>
                <w:sz w:val="22"/>
              </w:rPr>
              <w:t>INSTITUTION AND LOCATION</w:t>
            </w:r>
          </w:p>
        </w:tc>
        <w:tc>
          <w:tcPr>
            <w:tcW w:w="1446" w:type="dxa"/>
            <w:tcBorders>
              <w:top w:val="single" w:sz="4" w:space="0" w:color="auto"/>
              <w:bottom w:val="single" w:sz="4" w:space="0" w:color="auto"/>
            </w:tcBorders>
            <w:vAlign w:val="center"/>
          </w:tcPr>
          <w:p w14:paraId="65E3CF86" w14:textId="77777777" w:rsidR="00D825A1" w:rsidRPr="00D51DC4" w:rsidRDefault="00D825A1" w:rsidP="00E37E57">
            <w:pPr>
              <w:pStyle w:val="FormFieldCaption"/>
              <w:jc w:val="center"/>
              <w:rPr>
                <w:sz w:val="22"/>
              </w:rPr>
            </w:pPr>
            <w:r w:rsidRPr="00D51DC4">
              <w:rPr>
                <w:sz w:val="22"/>
              </w:rPr>
              <w:t>DEGREE</w:t>
            </w:r>
          </w:p>
          <w:p w14:paraId="7CB69EFB" w14:textId="221F3FD7" w:rsidR="00D825A1" w:rsidRPr="00D51DC4" w:rsidRDefault="00D825A1" w:rsidP="00191A39">
            <w:pPr>
              <w:pStyle w:val="FormFieldCaption"/>
              <w:jc w:val="center"/>
              <w:rPr>
                <w:sz w:val="22"/>
              </w:rPr>
            </w:pPr>
            <w:r w:rsidRPr="00D51DC4">
              <w:rPr>
                <w:rStyle w:val="Emphasis"/>
                <w:sz w:val="22"/>
              </w:rPr>
              <w:t>(if applicable)</w:t>
            </w:r>
          </w:p>
        </w:tc>
        <w:tc>
          <w:tcPr>
            <w:tcW w:w="1446" w:type="dxa"/>
            <w:tcBorders>
              <w:top w:val="single" w:sz="4" w:space="0" w:color="auto"/>
              <w:bottom w:val="single" w:sz="4" w:space="0" w:color="auto"/>
            </w:tcBorders>
            <w:vAlign w:val="center"/>
          </w:tcPr>
          <w:p w14:paraId="595B4C76" w14:textId="77777777" w:rsidR="00240E97" w:rsidRPr="00D51DC4" w:rsidRDefault="00240E97" w:rsidP="00787826">
            <w:pPr>
              <w:pStyle w:val="FormFieldCaption"/>
              <w:jc w:val="center"/>
              <w:rPr>
                <w:sz w:val="22"/>
              </w:rPr>
            </w:pPr>
            <w:r w:rsidRPr="00D51DC4">
              <w:rPr>
                <w:sz w:val="22"/>
              </w:rPr>
              <w:t>Completion Date</w:t>
            </w:r>
          </w:p>
          <w:p w14:paraId="418C108A" w14:textId="23E0DDF2" w:rsidR="00D825A1" w:rsidRPr="00D51DC4" w:rsidRDefault="00D825A1" w:rsidP="00787826">
            <w:pPr>
              <w:pStyle w:val="FormFieldCaption"/>
              <w:jc w:val="center"/>
              <w:rPr>
                <w:sz w:val="22"/>
              </w:rPr>
            </w:pPr>
            <w:r w:rsidRPr="00D51DC4">
              <w:rPr>
                <w:sz w:val="22"/>
              </w:rPr>
              <w:t>MM/YYYY</w:t>
            </w:r>
          </w:p>
        </w:tc>
        <w:tc>
          <w:tcPr>
            <w:tcW w:w="2603" w:type="dxa"/>
            <w:tcBorders>
              <w:top w:val="single" w:sz="4" w:space="0" w:color="auto"/>
              <w:bottom w:val="single" w:sz="4" w:space="0" w:color="auto"/>
            </w:tcBorders>
            <w:vAlign w:val="center"/>
          </w:tcPr>
          <w:p w14:paraId="3B9B12EA" w14:textId="04AF414B" w:rsidR="00D825A1" w:rsidRPr="00D51DC4" w:rsidRDefault="00D825A1" w:rsidP="00191A39">
            <w:pPr>
              <w:pStyle w:val="FormFieldCaption"/>
              <w:jc w:val="center"/>
              <w:rPr>
                <w:sz w:val="22"/>
              </w:rPr>
            </w:pPr>
            <w:r w:rsidRPr="00D51DC4">
              <w:rPr>
                <w:sz w:val="22"/>
              </w:rPr>
              <w:t>FIELD OF STUDY</w:t>
            </w:r>
          </w:p>
        </w:tc>
      </w:tr>
      <w:tr w:rsidR="00787826" w:rsidRPr="00D51DC4" w14:paraId="4E4FD7B6" w14:textId="77777777" w:rsidTr="00D52D74">
        <w:trPr>
          <w:cantSplit/>
          <w:trHeight w:val="233"/>
        </w:trPr>
        <w:tc>
          <w:tcPr>
            <w:tcW w:w="5395" w:type="dxa"/>
            <w:tcBorders>
              <w:top w:val="single" w:sz="6" w:space="0" w:color="auto"/>
              <w:left w:val="nil"/>
              <w:bottom w:val="nil"/>
              <w:right w:val="single" w:sz="4" w:space="0" w:color="auto"/>
            </w:tcBorders>
            <w:vAlign w:val="center"/>
          </w:tcPr>
          <w:p w14:paraId="4DEF6AED" w14:textId="16F209F2" w:rsidR="00787826" w:rsidRPr="00787826" w:rsidRDefault="00787826" w:rsidP="00787826">
            <w:pPr>
              <w:pStyle w:val="FormFieldCaption"/>
              <w:rPr>
                <w:sz w:val="22"/>
                <w:szCs w:val="22"/>
              </w:rPr>
            </w:pPr>
            <w:r w:rsidRPr="00787826">
              <w:rPr>
                <w:rFonts w:cs="Times New Roman"/>
                <w:sz w:val="22"/>
                <w:szCs w:val="22"/>
              </w:rPr>
              <w:t>California Institute of Technology</w:t>
            </w:r>
          </w:p>
        </w:tc>
        <w:tc>
          <w:tcPr>
            <w:tcW w:w="1446" w:type="dxa"/>
            <w:tcBorders>
              <w:top w:val="single" w:sz="6" w:space="0" w:color="auto"/>
              <w:left w:val="single" w:sz="4" w:space="0" w:color="auto"/>
              <w:bottom w:val="nil"/>
              <w:right w:val="single" w:sz="4" w:space="0" w:color="auto"/>
            </w:tcBorders>
            <w:vAlign w:val="center"/>
          </w:tcPr>
          <w:p w14:paraId="74E5F823" w14:textId="2F3FF758" w:rsidR="00787826" w:rsidRPr="00787826" w:rsidRDefault="00787826" w:rsidP="00787826">
            <w:pPr>
              <w:pStyle w:val="FormFieldCaption"/>
              <w:rPr>
                <w:sz w:val="22"/>
                <w:szCs w:val="22"/>
              </w:rPr>
            </w:pPr>
            <w:r w:rsidRPr="00787826">
              <w:rPr>
                <w:rFonts w:cs="Times New Roman"/>
                <w:sz w:val="22"/>
                <w:szCs w:val="22"/>
              </w:rPr>
              <w:t>BS</w:t>
            </w:r>
          </w:p>
        </w:tc>
        <w:tc>
          <w:tcPr>
            <w:tcW w:w="1446" w:type="dxa"/>
            <w:tcBorders>
              <w:top w:val="single" w:sz="6" w:space="0" w:color="auto"/>
              <w:left w:val="single" w:sz="4" w:space="0" w:color="auto"/>
              <w:bottom w:val="nil"/>
              <w:right w:val="single" w:sz="4" w:space="0" w:color="auto"/>
            </w:tcBorders>
            <w:vAlign w:val="center"/>
          </w:tcPr>
          <w:p w14:paraId="356D4217" w14:textId="67F07FE4" w:rsidR="00787826" w:rsidRPr="00787826" w:rsidRDefault="00787826" w:rsidP="00787826">
            <w:pPr>
              <w:pStyle w:val="FormFieldCaption"/>
              <w:jc w:val="center"/>
              <w:rPr>
                <w:sz w:val="22"/>
                <w:szCs w:val="22"/>
              </w:rPr>
            </w:pPr>
            <w:r w:rsidRPr="00787826">
              <w:rPr>
                <w:sz w:val="22"/>
                <w:szCs w:val="22"/>
              </w:rPr>
              <w:t>1960</w:t>
            </w:r>
          </w:p>
        </w:tc>
        <w:tc>
          <w:tcPr>
            <w:tcW w:w="2603" w:type="dxa"/>
            <w:tcBorders>
              <w:top w:val="single" w:sz="6" w:space="0" w:color="auto"/>
              <w:left w:val="single" w:sz="4" w:space="0" w:color="auto"/>
              <w:bottom w:val="nil"/>
              <w:right w:val="nil"/>
            </w:tcBorders>
            <w:vAlign w:val="center"/>
          </w:tcPr>
          <w:p w14:paraId="31BA2CA7" w14:textId="66575882" w:rsidR="00787826" w:rsidRPr="00787826" w:rsidRDefault="00787826" w:rsidP="00787826">
            <w:pPr>
              <w:pStyle w:val="FormFieldCaption"/>
              <w:rPr>
                <w:sz w:val="22"/>
                <w:szCs w:val="22"/>
              </w:rPr>
            </w:pPr>
            <w:r w:rsidRPr="00787826">
              <w:rPr>
                <w:sz w:val="22"/>
                <w:szCs w:val="22"/>
              </w:rPr>
              <w:t>Mathematics</w:t>
            </w:r>
          </w:p>
        </w:tc>
      </w:tr>
      <w:tr w:rsidR="00787826" w:rsidRPr="00D51DC4" w14:paraId="3C3A2E32" w14:textId="77777777" w:rsidTr="00D52D74">
        <w:trPr>
          <w:cantSplit/>
          <w:trHeight w:val="270"/>
        </w:trPr>
        <w:tc>
          <w:tcPr>
            <w:tcW w:w="5395" w:type="dxa"/>
            <w:tcBorders>
              <w:top w:val="nil"/>
              <w:left w:val="nil"/>
              <w:right w:val="single" w:sz="4" w:space="0" w:color="auto"/>
            </w:tcBorders>
            <w:vAlign w:val="center"/>
          </w:tcPr>
          <w:p w14:paraId="3BF9208F" w14:textId="42850500" w:rsidR="00787826" w:rsidRPr="00787826" w:rsidRDefault="00787826" w:rsidP="00787826">
            <w:pPr>
              <w:pStyle w:val="FormFieldCaption"/>
              <w:rPr>
                <w:sz w:val="22"/>
                <w:szCs w:val="22"/>
              </w:rPr>
            </w:pPr>
            <w:r w:rsidRPr="00787826">
              <w:rPr>
                <w:rFonts w:cs="Times New Roman"/>
                <w:sz w:val="22"/>
                <w:szCs w:val="22"/>
              </w:rPr>
              <w:t>Stanford University, California</w:t>
            </w:r>
          </w:p>
        </w:tc>
        <w:tc>
          <w:tcPr>
            <w:tcW w:w="1446" w:type="dxa"/>
            <w:tcBorders>
              <w:top w:val="nil"/>
              <w:left w:val="single" w:sz="4" w:space="0" w:color="auto"/>
              <w:right w:val="single" w:sz="4" w:space="0" w:color="auto"/>
            </w:tcBorders>
            <w:vAlign w:val="center"/>
          </w:tcPr>
          <w:p w14:paraId="5F62F1FA" w14:textId="022140EB" w:rsidR="00787826" w:rsidRPr="00787826" w:rsidRDefault="00787826" w:rsidP="00787826">
            <w:pPr>
              <w:pStyle w:val="FormFieldCaption"/>
              <w:rPr>
                <w:sz w:val="22"/>
                <w:szCs w:val="22"/>
              </w:rPr>
            </w:pPr>
            <w:r w:rsidRPr="00787826">
              <w:rPr>
                <w:rFonts w:cs="Times New Roman"/>
                <w:sz w:val="22"/>
                <w:szCs w:val="22"/>
              </w:rPr>
              <w:t>MS</w:t>
            </w:r>
          </w:p>
        </w:tc>
        <w:tc>
          <w:tcPr>
            <w:tcW w:w="1446" w:type="dxa"/>
            <w:tcBorders>
              <w:top w:val="nil"/>
              <w:left w:val="single" w:sz="4" w:space="0" w:color="auto"/>
              <w:right w:val="single" w:sz="4" w:space="0" w:color="auto"/>
            </w:tcBorders>
            <w:vAlign w:val="center"/>
          </w:tcPr>
          <w:p w14:paraId="71E9F077" w14:textId="1078DAD6" w:rsidR="00787826" w:rsidRPr="00787826" w:rsidRDefault="00787826" w:rsidP="00787826">
            <w:pPr>
              <w:pStyle w:val="FormFieldCaption"/>
              <w:jc w:val="center"/>
              <w:rPr>
                <w:sz w:val="22"/>
                <w:szCs w:val="22"/>
              </w:rPr>
            </w:pPr>
            <w:r w:rsidRPr="00787826">
              <w:rPr>
                <w:sz w:val="22"/>
                <w:szCs w:val="22"/>
              </w:rPr>
              <w:t>1962</w:t>
            </w:r>
          </w:p>
        </w:tc>
        <w:tc>
          <w:tcPr>
            <w:tcW w:w="2603" w:type="dxa"/>
            <w:tcBorders>
              <w:top w:val="nil"/>
              <w:left w:val="single" w:sz="4" w:space="0" w:color="auto"/>
              <w:right w:val="nil"/>
            </w:tcBorders>
            <w:vAlign w:val="center"/>
          </w:tcPr>
          <w:p w14:paraId="36BAED9B" w14:textId="706B6E7C" w:rsidR="00787826" w:rsidRPr="00787826" w:rsidRDefault="00787826" w:rsidP="00787826">
            <w:pPr>
              <w:pStyle w:val="FormFieldCaption"/>
              <w:rPr>
                <w:sz w:val="22"/>
                <w:szCs w:val="22"/>
              </w:rPr>
            </w:pPr>
            <w:r w:rsidRPr="00787826">
              <w:rPr>
                <w:sz w:val="22"/>
                <w:szCs w:val="22"/>
              </w:rPr>
              <w:t>Statistics</w:t>
            </w:r>
          </w:p>
        </w:tc>
      </w:tr>
      <w:tr w:rsidR="00787826" w:rsidRPr="00D51DC4" w14:paraId="000E2AED" w14:textId="77777777" w:rsidTr="00787826">
        <w:trPr>
          <w:cantSplit/>
          <w:trHeight w:val="153"/>
        </w:trPr>
        <w:tc>
          <w:tcPr>
            <w:tcW w:w="5395" w:type="dxa"/>
            <w:tcBorders>
              <w:top w:val="nil"/>
              <w:left w:val="nil"/>
              <w:bottom w:val="single" w:sz="4" w:space="0" w:color="auto"/>
              <w:right w:val="single" w:sz="4" w:space="0" w:color="auto"/>
            </w:tcBorders>
            <w:vAlign w:val="center"/>
          </w:tcPr>
          <w:p w14:paraId="3913D4E6" w14:textId="484075D5" w:rsidR="00787826" w:rsidRPr="00787826" w:rsidRDefault="00787826" w:rsidP="00787826">
            <w:pPr>
              <w:pStyle w:val="FormFieldCaption"/>
              <w:rPr>
                <w:sz w:val="22"/>
                <w:szCs w:val="22"/>
              </w:rPr>
            </w:pPr>
            <w:r w:rsidRPr="00787826">
              <w:rPr>
                <w:rFonts w:cs="Times New Roman"/>
                <w:sz w:val="22"/>
                <w:szCs w:val="22"/>
              </w:rPr>
              <w:t>Stanford University, California</w:t>
            </w:r>
          </w:p>
        </w:tc>
        <w:tc>
          <w:tcPr>
            <w:tcW w:w="1446" w:type="dxa"/>
            <w:tcBorders>
              <w:top w:val="nil"/>
              <w:left w:val="single" w:sz="4" w:space="0" w:color="auto"/>
              <w:bottom w:val="single" w:sz="4" w:space="0" w:color="auto"/>
              <w:right w:val="single" w:sz="4" w:space="0" w:color="auto"/>
            </w:tcBorders>
            <w:vAlign w:val="center"/>
          </w:tcPr>
          <w:p w14:paraId="48DB540B" w14:textId="3C48BBDE" w:rsidR="00787826" w:rsidRPr="00787826" w:rsidRDefault="00787826" w:rsidP="00787826">
            <w:pPr>
              <w:pStyle w:val="FormFieldCaption"/>
              <w:rPr>
                <w:sz w:val="22"/>
                <w:szCs w:val="22"/>
              </w:rPr>
            </w:pPr>
            <w:r w:rsidRPr="00787826">
              <w:rPr>
                <w:rFonts w:cs="Times New Roman"/>
                <w:sz w:val="22"/>
                <w:szCs w:val="22"/>
              </w:rPr>
              <w:t>Ph.D.</w:t>
            </w:r>
          </w:p>
        </w:tc>
        <w:tc>
          <w:tcPr>
            <w:tcW w:w="1446" w:type="dxa"/>
            <w:tcBorders>
              <w:top w:val="nil"/>
              <w:left w:val="single" w:sz="4" w:space="0" w:color="auto"/>
              <w:bottom w:val="single" w:sz="4" w:space="0" w:color="auto"/>
              <w:right w:val="single" w:sz="4" w:space="0" w:color="auto"/>
            </w:tcBorders>
            <w:vAlign w:val="center"/>
          </w:tcPr>
          <w:p w14:paraId="213417B1" w14:textId="60C5F756" w:rsidR="00787826" w:rsidRPr="00787826" w:rsidRDefault="00787826" w:rsidP="00787826">
            <w:pPr>
              <w:pStyle w:val="FormFieldCaption"/>
              <w:jc w:val="center"/>
              <w:rPr>
                <w:sz w:val="22"/>
                <w:szCs w:val="22"/>
              </w:rPr>
            </w:pPr>
            <w:r w:rsidRPr="00787826">
              <w:rPr>
                <w:sz w:val="22"/>
                <w:szCs w:val="22"/>
              </w:rPr>
              <w:t>1964</w:t>
            </w:r>
          </w:p>
        </w:tc>
        <w:tc>
          <w:tcPr>
            <w:tcW w:w="2603" w:type="dxa"/>
            <w:tcBorders>
              <w:top w:val="nil"/>
              <w:left w:val="single" w:sz="4" w:space="0" w:color="auto"/>
              <w:bottom w:val="single" w:sz="4" w:space="0" w:color="auto"/>
              <w:right w:val="nil"/>
            </w:tcBorders>
            <w:vAlign w:val="center"/>
          </w:tcPr>
          <w:p w14:paraId="667DB824" w14:textId="3585DE28" w:rsidR="00787826" w:rsidRPr="00787826" w:rsidRDefault="00787826" w:rsidP="00787826">
            <w:pPr>
              <w:pStyle w:val="FormFieldCaption"/>
              <w:rPr>
                <w:sz w:val="22"/>
                <w:szCs w:val="22"/>
              </w:rPr>
            </w:pPr>
            <w:r w:rsidRPr="00787826">
              <w:rPr>
                <w:sz w:val="22"/>
                <w:szCs w:val="22"/>
              </w:rPr>
              <w:t>Statistics</w:t>
            </w:r>
          </w:p>
        </w:tc>
      </w:tr>
    </w:tbl>
    <w:p w14:paraId="4DF5C4C2" w14:textId="77777777" w:rsidR="00E67A05" w:rsidRPr="00D825A1" w:rsidRDefault="00E67A05" w:rsidP="00D825A1">
      <w:pPr>
        <w:pStyle w:val="Heading1"/>
      </w:pPr>
      <w:r w:rsidRPr="00D825A1">
        <w:t>A.</w:t>
      </w:r>
      <w:r w:rsidRPr="00D825A1">
        <w:tab/>
        <w:t>Personal Statement</w:t>
      </w:r>
    </w:p>
    <w:p w14:paraId="1E398DF6" w14:textId="3862365C" w:rsidR="001869B9" w:rsidRPr="00E73447" w:rsidRDefault="002B3FDB" w:rsidP="00272019">
      <w:proofErr w:type="spellStart"/>
      <w:r w:rsidRPr="002B3FDB">
        <w:rPr>
          <w:rFonts w:cs="Arial"/>
          <w:bCs/>
          <w:szCs w:val="22"/>
        </w:rPr>
        <w:t>Efron’s</w:t>
      </w:r>
      <w:proofErr w:type="spellEnd"/>
      <w:r w:rsidRPr="002B3FDB">
        <w:rPr>
          <w:rFonts w:cs="Arial"/>
          <w:bCs/>
          <w:szCs w:val="22"/>
        </w:rPr>
        <w:t xml:space="preserve"> 2011 book on large-scale inference is based on his published papers concerning the statistical analysis of massive biomedical data sets, with an emphasis on empirical Bayes methods. Since then his research has focused on the relationship between Bayes, empirical Bayes, and frequentist applications, particularly the role of the bootstrap as a connecting methodology. His paper, “Estimation and accuracy after model selection,” </w:t>
      </w:r>
      <w:r w:rsidR="00272019">
        <w:rPr>
          <w:rFonts w:cs="Arial"/>
          <w:bCs/>
          <w:szCs w:val="22"/>
        </w:rPr>
        <w:t>w</w:t>
      </w:r>
      <w:r w:rsidRPr="002B3FDB">
        <w:rPr>
          <w:rFonts w:cs="Arial"/>
          <w:bCs/>
          <w:szCs w:val="22"/>
        </w:rPr>
        <w:t xml:space="preserve">as selected by the </w:t>
      </w:r>
      <w:r w:rsidRPr="002B3FDB">
        <w:rPr>
          <w:rFonts w:cs="Arial"/>
          <w:bCs/>
          <w:i/>
          <w:szCs w:val="22"/>
        </w:rPr>
        <w:t>Journal of the American Statistical Association</w:t>
      </w:r>
      <w:r w:rsidRPr="002B3FDB">
        <w:rPr>
          <w:rFonts w:cs="Arial"/>
          <w:bCs/>
          <w:szCs w:val="22"/>
        </w:rPr>
        <w:t xml:space="preserve"> Theory and Methods section for presentation and discussion at the 2014 Joint Statistical Meetings in Boston.</w:t>
      </w:r>
      <w:r w:rsidR="00272019">
        <w:rPr>
          <w:rFonts w:cs="Arial"/>
          <w:bCs/>
          <w:szCs w:val="22"/>
        </w:rPr>
        <w:t xml:space="preserve"> His </w:t>
      </w:r>
      <w:r w:rsidR="00272019" w:rsidRPr="00272019">
        <w:rPr>
          <w:rFonts w:cs="Arial"/>
          <w:bCs/>
          <w:szCs w:val="22"/>
        </w:rPr>
        <w:t xml:space="preserve">main work on Cox regression is </w:t>
      </w:r>
      <w:r w:rsidR="00272019">
        <w:rPr>
          <w:rFonts w:cs="Arial"/>
          <w:bCs/>
          <w:szCs w:val="22"/>
        </w:rPr>
        <w:t>“</w:t>
      </w:r>
      <w:r w:rsidR="00272019" w:rsidRPr="00272019">
        <w:rPr>
          <w:rFonts w:cs="Arial"/>
          <w:bCs/>
          <w:szCs w:val="22"/>
        </w:rPr>
        <w:t>The efficiency of Cox's likelihood function for censored data</w:t>
      </w:r>
      <w:r w:rsidR="00272019">
        <w:rPr>
          <w:rFonts w:cs="Arial"/>
          <w:bCs/>
          <w:szCs w:val="22"/>
        </w:rPr>
        <w:t xml:space="preserve">” </w:t>
      </w:r>
      <w:r w:rsidR="00272019" w:rsidRPr="00272019">
        <w:rPr>
          <w:rFonts w:cs="Arial"/>
          <w:bCs/>
          <w:szCs w:val="22"/>
        </w:rPr>
        <w:t>(1977</w:t>
      </w:r>
      <w:r w:rsidR="00272019">
        <w:rPr>
          <w:rFonts w:cs="Arial"/>
          <w:bCs/>
          <w:szCs w:val="22"/>
        </w:rPr>
        <w:t>,</w:t>
      </w:r>
      <w:r w:rsidR="00272019" w:rsidRPr="00272019">
        <w:rPr>
          <w:rFonts w:cs="Arial"/>
          <w:bCs/>
          <w:szCs w:val="22"/>
        </w:rPr>
        <w:t xml:space="preserve"> </w:t>
      </w:r>
      <w:r w:rsidR="00272019" w:rsidRPr="00272019">
        <w:rPr>
          <w:rFonts w:cs="Arial"/>
          <w:bCs/>
          <w:i/>
          <w:szCs w:val="22"/>
        </w:rPr>
        <w:t>JASA</w:t>
      </w:r>
      <w:r w:rsidR="00272019" w:rsidRPr="00272019">
        <w:rPr>
          <w:rFonts w:cs="Arial"/>
          <w:bCs/>
          <w:szCs w:val="22"/>
        </w:rPr>
        <w:t xml:space="preserve"> </w:t>
      </w:r>
      <w:r w:rsidR="00272019" w:rsidRPr="00272019">
        <w:rPr>
          <w:rFonts w:cs="Arial"/>
          <w:b/>
          <w:bCs/>
          <w:szCs w:val="22"/>
        </w:rPr>
        <w:t>72</w:t>
      </w:r>
      <w:r w:rsidR="00272019" w:rsidRPr="00272019">
        <w:rPr>
          <w:rFonts w:cs="Arial"/>
          <w:bCs/>
          <w:szCs w:val="22"/>
        </w:rPr>
        <w:t>, 557</w:t>
      </w:r>
      <w:r w:rsidR="00272019">
        <w:t>–</w:t>
      </w:r>
      <w:r w:rsidR="00272019" w:rsidRPr="00272019">
        <w:rPr>
          <w:rFonts w:cs="Arial"/>
          <w:bCs/>
          <w:szCs w:val="22"/>
        </w:rPr>
        <w:t>565</w:t>
      </w:r>
      <w:r w:rsidR="00272019">
        <w:rPr>
          <w:rFonts w:cs="Arial"/>
          <w:bCs/>
          <w:szCs w:val="22"/>
        </w:rPr>
        <w:t>)</w:t>
      </w:r>
      <w:r w:rsidR="00272019" w:rsidRPr="00272019">
        <w:rPr>
          <w:rFonts w:cs="Arial"/>
          <w:bCs/>
          <w:szCs w:val="22"/>
        </w:rPr>
        <w:t>.</w:t>
      </w:r>
      <w:r w:rsidR="00272019">
        <w:rPr>
          <w:rFonts w:cs="Arial"/>
          <w:bCs/>
          <w:szCs w:val="22"/>
        </w:rPr>
        <w:t xml:space="preserve"> </w:t>
      </w:r>
      <w:r w:rsidR="00272019" w:rsidRPr="00272019">
        <w:rPr>
          <w:rFonts w:cs="Arial"/>
          <w:bCs/>
          <w:szCs w:val="22"/>
        </w:rPr>
        <w:t xml:space="preserve">It includes the so-called </w:t>
      </w:r>
      <w:r w:rsidR="00272019">
        <w:rPr>
          <w:rFonts w:cs="Arial"/>
          <w:bCs/>
          <w:szCs w:val="22"/>
        </w:rPr>
        <w:t>“</w:t>
      </w:r>
      <w:r w:rsidR="00272019" w:rsidRPr="00272019">
        <w:rPr>
          <w:rFonts w:cs="Arial"/>
          <w:bCs/>
          <w:szCs w:val="22"/>
        </w:rPr>
        <w:t>Efron approximation</w:t>
      </w:r>
      <w:r w:rsidR="00272019">
        <w:rPr>
          <w:rFonts w:cs="Arial"/>
          <w:bCs/>
          <w:szCs w:val="22"/>
        </w:rPr>
        <w:t>”</w:t>
      </w:r>
      <w:r w:rsidR="00272019" w:rsidRPr="00272019">
        <w:rPr>
          <w:rFonts w:cs="Arial"/>
          <w:bCs/>
          <w:szCs w:val="22"/>
        </w:rPr>
        <w:t xml:space="preserve"> for handling cases</w:t>
      </w:r>
      <w:r w:rsidR="00272019">
        <w:rPr>
          <w:rFonts w:cs="Arial"/>
          <w:bCs/>
          <w:szCs w:val="22"/>
        </w:rPr>
        <w:t xml:space="preserve"> with tied survival times</w:t>
      </w:r>
      <w:r w:rsidR="00272019" w:rsidRPr="00272019">
        <w:rPr>
          <w:rFonts w:cs="Arial"/>
          <w:bCs/>
          <w:szCs w:val="22"/>
        </w:rPr>
        <w:t xml:space="preserve">, so-named in </w:t>
      </w:r>
      <w:r w:rsidR="00272019" w:rsidRPr="00272019">
        <w:rPr>
          <w:rFonts w:cs="Arial"/>
          <w:bCs/>
          <w:i/>
          <w:szCs w:val="22"/>
        </w:rPr>
        <w:t>Modeling Survival Data</w:t>
      </w:r>
      <w:r w:rsidR="00272019">
        <w:rPr>
          <w:rFonts w:cs="Arial"/>
          <w:bCs/>
          <w:szCs w:val="22"/>
        </w:rPr>
        <w:t xml:space="preserve"> by </w:t>
      </w:r>
      <w:proofErr w:type="spellStart"/>
      <w:r w:rsidR="00272019" w:rsidRPr="00272019">
        <w:rPr>
          <w:rFonts w:cs="Arial"/>
          <w:bCs/>
          <w:szCs w:val="22"/>
        </w:rPr>
        <w:t>Therneau</w:t>
      </w:r>
      <w:proofErr w:type="spellEnd"/>
      <w:r w:rsidR="00272019" w:rsidRPr="00272019">
        <w:rPr>
          <w:rFonts w:cs="Arial"/>
          <w:bCs/>
          <w:szCs w:val="22"/>
        </w:rPr>
        <w:t xml:space="preserve"> &amp; </w:t>
      </w:r>
      <w:proofErr w:type="spellStart"/>
      <w:r w:rsidR="00272019" w:rsidRPr="00272019">
        <w:rPr>
          <w:rFonts w:cs="Arial"/>
          <w:bCs/>
          <w:szCs w:val="22"/>
        </w:rPr>
        <w:t>Grabbsch</w:t>
      </w:r>
      <w:proofErr w:type="spellEnd"/>
      <w:r w:rsidR="00272019" w:rsidRPr="00272019">
        <w:rPr>
          <w:rFonts w:cs="Arial"/>
          <w:bCs/>
          <w:szCs w:val="22"/>
        </w:rPr>
        <w:t xml:space="preserve"> </w:t>
      </w:r>
      <w:r w:rsidR="00272019">
        <w:rPr>
          <w:rFonts w:cs="Arial"/>
          <w:bCs/>
          <w:szCs w:val="22"/>
        </w:rPr>
        <w:t>(</w:t>
      </w:r>
      <w:r w:rsidR="00272019" w:rsidRPr="00272019">
        <w:rPr>
          <w:rFonts w:cs="Arial"/>
          <w:bCs/>
          <w:szCs w:val="22"/>
        </w:rPr>
        <w:t>2000</w:t>
      </w:r>
      <w:r w:rsidR="00272019">
        <w:rPr>
          <w:rFonts w:cs="Arial"/>
          <w:bCs/>
          <w:szCs w:val="22"/>
        </w:rPr>
        <w:t>)</w:t>
      </w:r>
      <w:r w:rsidR="00272019" w:rsidRPr="00272019">
        <w:rPr>
          <w:rFonts w:cs="Arial"/>
          <w:bCs/>
          <w:szCs w:val="22"/>
        </w:rPr>
        <w:t>.</w:t>
      </w:r>
    </w:p>
    <w:p w14:paraId="4DF5C4C4" w14:textId="77777777" w:rsidR="00E67A05" w:rsidRPr="00D825A1" w:rsidRDefault="00E67A05" w:rsidP="00D825A1">
      <w:pPr>
        <w:pStyle w:val="Heading1"/>
      </w:pPr>
      <w:r w:rsidRPr="00D825A1">
        <w:t>B.</w:t>
      </w:r>
      <w:r w:rsidRPr="00D825A1">
        <w:tab/>
        <w:t>Positions and Honors</w:t>
      </w:r>
    </w:p>
    <w:p w14:paraId="1776FCE7" w14:textId="77777777" w:rsidR="002B3FDB" w:rsidRPr="002B3FDB" w:rsidRDefault="002B3FDB" w:rsidP="002B3FDB">
      <w:pPr>
        <w:ind w:left="360"/>
        <w:rPr>
          <w:b/>
          <w:noProof/>
          <w:szCs w:val="22"/>
          <w:u w:val="single"/>
        </w:rPr>
      </w:pPr>
      <w:r w:rsidRPr="002B3FDB">
        <w:rPr>
          <w:b/>
          <w:bCs/>
          <w:noProof/>
          <w:szCs w:val="22"/>
          <w:u w:val="single"/>
        </w:rPr>
        <w:t>Positions</w:t>
      </w:r>
    </w:p>
    <w:p w14:paraId="4AD0F43F" w14:textId="77777777" w:rsidR="002B3FDB" w:rsidRPr="002B3FDB" w:rsidRDefault="002B3FDB" w:rsidP="002B3FDB">
      <w:pPr>
        <w:ind w:left="360"/>
        <w:rPr>
          <w:noProof/>
          <w:szCs w:val="22"/>
        </w:rPr>
      </w:pPr>
      <w:r w:rsidRPr="002B3FDB">
        <w:rPr>
          <w:noProof/>
          <w:szCs w:val="22"/>
        </w:rPr>
        <w:t>1966--1971</w:t>
      </w:r>
      <w:r w:rsidRPr="002B3FDB">
        <w:rPr>
          <w:noProof/>
          <w:szCs w:val="22"/>
        </w:rPr>
        <w:tab/>
      </w:r>
      <w:r w:rsidRPr="002B3FDB">
        <w:rPr>
          <w:noProof/>
          <w:szCs w:val="22"/>
        </w:rPr>
        <w:tab/>
        <w:t>Assistant and Associate Professor of Statistics, Stanford University</w:t>
      </w:r>
    </w:p>
    <w:p w14:paraId="4D36F5EB" w14:textId="77777777" w:rsidR="002B3FDB" w:rsidRPr="002B3FDB" w:rsidRDefault="002B3FDB" w:rsidP="002B3FDB">
      <w:pPr>
        <w:ind w:left="360"/>
        <w:rPr>
          <w:noProof/>
          <w:szCs w:val="22"/>
        </w:rPr>
      </w:pPr>
      <w:r w:rsidRPr="002B3FDB">
        <w:rPr>
          <w:bCs/>
          <w:noProof/>
          <w:szCs w:val="22"/>
        </w:rPr>
        <w:t>1968--1969</w:t>
      </w:r>
      <w:r w:rsidRPr="002B3FDB">
        <w:rPr>
          <w:bCs/>
          <w:noProof/>
          <w:szCs w:val="22"/>
        </w:rPr>
        <w:tab/>
      </w:r>
      <w:r w:rsidRPr="002B3FDB">
        <w:rPr>
          <w:bCs/>
          <w:noProof/>
          <w:szCs w:val="22"/>
        </w:rPr>
        <w:tab/>
        <w:t xml:space="preserve">Associate Editor, </w:t>
      </w:r>
      <w:r w:rsidRPr="002B3FDB">
        <w:rPr>
          <w:bCs/>
          <w:i/>
          <w:noProof/>
          <w:szCs w:val="22"/>
        </w:rPr>
        <w:t>Journal of the American Statistical Association</w:t>
      </w:r>
    </w:p>
    <w:p w14:paraId="50851AD4" w14:textId="77777777" w:rsidR="002B3FDB" w:rsidRPr="002B3FDB" w:rsidRDefault="002B3FDB" w:rsidP="002B3FDB">
      <w:pPr>
        <w:ind w:left="360"/>
        <w:rPr>
          <w:noProof/>
          <w:szCs w:val="22"/>
        </w:rPr>
      </w:pPr>
      <w:r w:rsidRPr="002B3FDB">
        <w:rPr>
          <w:bCs/>
          <w:noProof/>
          <w:szCs w:val="22"/>
        </w:rPr>
        <w:t>1969--1972</w:t>
      </w:r>
      <w:r w:rsidRPr="002B3FDB">
        <w:rPr>
          <w:bCs/>
          <w:noProof/>
          <w:szCs w:val="22"/>
        </w:rPr>
        <w:tab/>
      </w:r>
      <w:r w:rsidRPr="002B3FDB">
        <w:rPr>
          <w:bCs/>
          <w:noProof/>
          <w:szCs w:val="22"/>
        </w:rPr>
        <w:tab/>
        <w:t xml:space="preserve">Theory and Methods Editor, </w:t>
      </w:r>
      <w:r w:rsidRPr="002B3FDB">
        <w:rPr>
          <w:bCs/>
          <w:i/>
          <w:noProof/>
          <w:szCs w:val="22"/>
        </w:rPr>
        <w:t>Journal of the American Statistical Association</w:t>
      </w:r>
    </w:p>
    <w:p w14:paraId="1D63046B" w14:textId="77777777" w:rsidR="002B3FDB" w:rsidRPr="002B3FDB" w:rsidRDefault="002B3FDB" w:rsidP="002B3FDB">
      <w:pPr>
        <w:ind w:left="360"/>
        <w:rPr>
          <w:noProof/>
          <w:szCs w:val="22"/>
        </w:rPr>
      </w:pPr>
      <w:r w:rsidRPr="002B3FDB">
        <w:rPr>
          <w:noProof/>
          <w:szCs w:val="22"/>
        </w:rPr>
        <w:t xml:space="preserve">1972-- </w:t>
      </w:r>
      <w:r w:rsidRPr="002B3FDB">
        <w:rPr>
          <w:noProof/>
          <w:szCs w:val="22"/>
        </w:rPr>
        <w:tab/>
      </w:r>
      <w:r w:rsidRPr="002B3FDB">
        <w:rPr>
          <w:noProof/>
          <w:szCs w:val="22"/>
        </w:rPr>
        <w:tab/>
      </w:r>
      <w:r w:rsidRPr="002B3FDB">
        <w:rPr>
          <w:noProof/>
          <w:szCs w:val="22"/>
        </w:rPr>
        <w:tab/>
      </w:r>
      <w:r w:rsidRPr="002B3FDB">
        <w:rPr>
          <w:noProof/>
          <w:szCs w:val="22"/>
        </w:rPr>
        <w:tab/>
        <w:t>Professor of Statistics, and Health Research and Policy, Stanford University</w:t>
      </w:r>
    </w:p>
    <w:p w14:paraId="7AAD48B2" w14:textId="77777777" w:rsidR="002B3FDB" w:rsidRPr="002B3FDB" w:rsidRDefault="002B3FDB" w:rsidP="002B3FDB">
      <w:pPr>
        <w:ind w:left="360"/>
        <w:rPr>
          <w:noProof/>
          <w:szCs w:val="22"/>
        </w:rPr>
      </w:pPr>
      <w:r w:rsidRPr="002B3FDB">
        <w:rPr>
          <w:noProof/>
          <w:szCs w:val="22"/>
        </w:rPr>
        <w:t xml:space="preserve">1976--1979 </w:t>
      </w:r>
      <w:r w:rsidRPr="002B3FDB">
        <w:rPr>
          <w:noProof/>
          <w:szCs w:val="22"/>
        </w:rPr>
        <w:tab/>
      </w:r>
      <w:r w:rsidRPr="002B3FDB">
        <w:rPr>
          <w:noProof/>
          <w:szCs w:val="22"/>
        </w:rPr>
        <w:tab/>
        <w:t>Chairman, Department of Statistics, Stanford University</w:t>
      </w:r>
    </w:p>
    <w:p w14:paraId="64CACDF9" w14:textId="77777777" w:rsidR="002B3FDB" w:rsidRPr="002B3FDB" w:rsidRDefault="002B3FDB" w:rsidP="002B3FDB">
      <w:pPr>
        <w:ind w:left="360"/>
        <w:rPr>
          <w:noProof/>
          <w:szCs w:val="22"/>
        </w:rPr>
      </w:pPr>
      <w:r w:rsidRPr="002B3FDB">
        <w:rPr>
          <w:noProof/>
          <w:szCs w:val="22"/>
        </w:rPr>
        <w:t xml:space="preserve">1967--1968 </w:t>
      </w:r>
      <w:r w:rsidRPr="002B3FDB">
        <w:rPr>
          <w:noProof/>
          <w:szCs w:val="22"/>
        </w:rPr>
        <w:tab/>
      </w:r>
      <w:r w:rsidRPr="002B3FDB">
        <w:rPr>
          <w:noProof/>
          <w:szCs w:val="22"/>
        </w:rPr>
        <w:tab/>
        <w:t>Visiting Lecturer, Dept. of Statistics, Harvard University</w:t>
      </w:r>
    </w:p>
    <w:p w14:paraId="534CA64B" w14:textId="77777777" w:rsidR="002B3FDB" w:rsidRPr="002B3FDB" w:rsidRDefault="002B3FDB" w:rsidP="002B3FDB">
      <w:pPr>
        <w:ind w:left="360"/>
        <w:rPr>
          <w:noProof/>
          <w:szCs w:val="22"/>
        </w:rPr>
      </w:pPr>
      <w:r w:rsidRPr="002B3FDB">
        <w:rPr>
          <w:noProof/>
          <w:szCs w:val="22"/>
        </w:rPr>
        <w:t xml:space="preserve">1971--1972 </w:t>
      </w:r>
      <w:r w:rsidRPr="002B3FDB">
        <w:rPr>
          <w:noProof/>
          <w:szCs w:val="22"/>
        </w:rPr>
        <w:tab/>
      </w:r>
      <w:r w:rsidRPr="002B3FDB">
        <w:rPr>
          <w:noProof/>
          <w:szCs w:val="22"/>
        </w:rPr>
        <w:tab/>
        <w:t>Visiting Scholar, Dept. of Mathematics, Imperial College, England</w:t>
      </w:r>
    </w:p>
    <w:p w14:paraId="3E94671C" w14:textId="77777777" w:rsidR="002B3FDB" w:rsidRPr="002B3FDB" w:rsidRDefault="002B3FDB" w:rsidP="002B3FDB">
      <w:pPr>
        <w:ind w:left="360"/>
        <w:rPr>
          <w:noProof/>
          <w:szCs w:val="22"/>
        </w:rPr>
      </w:pPr>
      <w:r w:rsidRPr="002B3FDB">
        <w:rPr>
          <w:noProof/>
          <w:szCs w:val="22"/>
        </w:rPr>
        <w:t xml:space="preserve">1979--1980 </w:t>
      </w:r>
      <w:r w:rsidRPr="002B3FDB">
        <w:rPr>
          <w:noProof/>
          <w:szCs w:val="22"/>
        </w:rPr>
        <w:tab/>
      </w:r>
      <w:r w:rsidRPr="002B3FDB">
        <w:rPr>
          <w:noProof/>
          <w:szCs w:val="22"/>
        </w:rPr>
        <w:tab/>
        <w:t>Visiting Professor, Dept. of Statistics, UC Berkeley</w:t>
      </w:r>
    </w:p>
    <w:p w14:paraId="5E446B2C" w14:textId="77777777" w:rsidR="002B3FDB" w:rsidRPr="002B3FDB" w:rsidRDefault="002B3FDB" w:rsidP="002B3FDB">
      <w:pPr>
        <w:ind w:left="360"/>
        <w:rPr>
          <w:noProof/>
          <w:szCs w:val="22"/>
        </w:rPr>
      </w:pPr>
      <w:r w:rsidRPr="002B3FDB">
        <w:rPr>
          <w:noProof/>
          <w:szCs w:val="22"/>
        </w:rPr>
        <w:t xml:space="preserve">1981-- </w:t>
      </w:r>
      <w:r w:rsidRPr="002B3FDB">
        <w:rPr>
          <w:noProof/>
          <w:szCs w:val="22"/>
        </w:rPr>
        <w:tab/>
      </w:r>
      <w:r w:rsidRPr="002B3FDB">
        <w:rPr>
          <w:noProof/>
          <w:szCs w:val="22"/>
        </w:rPr>
        <w:tab/>
      </w:r>
      <w:r w:rsidRPr="002B3FDB">
        <w:rPr>
          <w:noProof/>
          <w:szCs w:val="22"/>
        </w:rPr>
        <w:tab/>
      </w:r>
      <w:r w:rsidRPr="002B3FDB">
        <w:rPr>
          <w:noProof/>
          <w:szCs w:val="22"/>
        </w:rPr>
        <w:tab/>
        <w:t>Chairman, Mathematical and Computational Sciences Program, Stanford University</w:t>
      </w:r>
    </w:p>
    <w:p w14:paraId="01D05433" w14:textId="77777777" w:rsidR="002B3FDB" w:rsidRPr="002B3FDB" w:rsidRDefault="002B3FDB" w:rsidP="002B3FDB">
      <w:pPr>
        <w:ind w:left="360"/>
        <w:rPr>
          <w:noProof/>
          <w:szCs w:val="22"/>
        </w:rPr>
      </w:pPr>
      <w:r w:rsidRPr="002B3FDB">
        <w:rPr>
          <w:noProof/>
          <w:szCs w:val="22"/>
        </w:rPr>
        <w:t>1985--1986</w:t>
      </w:r>
      <w:r w:rsidRPr="002B3FDB">
        <w:rPr>
          <w:noProof/>
          <w:szCs w:val="22"/>
        </w:rPr>
        <w:tab/>
      </w:r>
      <w:r w:rsidRPr="002B3FDB">
        <w:rPr>
          <w:noProof/>
          <w:szCs w:val="22"/>
        </w:rPr>
        <w:tab/>
        <w:t>Chairman, Overseers Committee, Department of Statistics, Harvard University</w:t>
      </w:r>
    </w:p>
    <w:p w14:paraId="303ADA81" w14:textId="77777777" w:rsidR="002B3FDB" w:rsidRPr="002B3FDB" w:rsidRDefault="002B3FDB" w:rsidP="002B3FDB">
      <w:pPr>
        <w:ind w:left="360"/>
        <w:rPr>
          <w:noProof/>
          <w:szCs w:val="22"/>
        </w:rPr>
      </w:pPr>
      <w:r w:rsidRPr="002B3FDB">
        <w:rPr>
          <w:bCs/>
          <w:noProof/>
          <w:szCs w:val="22"/>
        </w:rPr>
        <w:t>1987--1988</w:t>
      </w:r>
      <w:r w:rsidRPr="002B3FDB">
        <w:rPr>
          <w:bCs/>
          <w:noProof/>
          <w:szCs w:val="22"/>
        </w:rPr>
        <w:tab/>
      </w:r>
      <w:r w:rsidRPr="002B3FDB">
        <w:rPr>
          <w:bCs/>
          <w:noProof/>
          <w:szCs w:val="22"/>
        </w:rPr>
        <w:tab/>
        <w:t>President, Institute of Mathematical Statistics</w:t>
      </w:r>
    </w:p>
    <w:p w14:paraId="5CDD669F" w14:textId="77777777" w:rsidR="002B3FDB" w:rsidRPr="002B3FDB" w:rsidRDefault="002B3FDB" w:rsidP="002B3FDB">
      <w:pPr>
        <w:ind w:left="360"/>
        <w:rPr>
          <w:noProof/>
          <w:szCs w:val="22"/>
        </w:rPr>
      </w:pPr>
      <w:r w:rsidRPr="002B3FDB">
        <w:rPr>
          <w:noProof/>
          <w:szCs w:val="22"/>
        </w:rPr>
        <w:t xml:space="preserve">1987-1990 </w:t>
      </w:r>
      <w:r w:rsidRPr="002B3FDB">
        <w:rPr>
          <w:noProof/>
          <w:szCs w:val="22"/>
        </w:rPr>
        <w:tab/>
      </w:r>
      <w:r w:rsidRPr="002B3FDB">
        <w:rPr>
          <w:noProof/>
          <w:szCs w:val="22"/>
        </w:rPr>
        <w:tab/>
        <w:t>Associate Dean, School of Humanities and Sciences, Stanford University</w:t>
      </w:r>
    </w:p>
    <w:p w14:paraId="34B6D7DA" w14:textId="77777777" w:rsidR="002B3FDB" w:rsidRPr="002B3FDB" w:rsidRDefault="002B3FDB" w:rsidP="002B3FDB">
      <w:pPr>
        <w:ind w:left="360"/>
        <w:rPr>
          <w:noProof/>
          <w:szCs w:val="22"/>
        </w:rPr>
      </w:pPr>
      <w:r w:rsidRPr="002B3FDB">
        <w:rPr>
          <w:noProof/>
          <w:szCs w:val="22"/>
        </w:rPr>
        <w:t>1991--1994 &amp;</w:t>
      </w:r>
    </w:p>
    <w:p w14:paraId="658383DC" w14:textId="77777777" w:rsidR="002B3FDB" w:rsidRPr="002B3FDB" w:rsidRDefault="002B3FDB" w:rsidP="002B3FDB">
      <w:pPr>
        <w:ind w:left="720"/>
        <w:rPr>
          <w:noProof/>
          <w:szCs w:val="22"/>
        </w:rPr>
      </w:pPr>
      <w:r w:rsidRPr="002B3FDB">
        <w:rPr>
          <w:noProof/>
          <w:szCs w:val="22"/>
        </w:rPr>
        <w:t>1998--1999</w:t>
      </w:r>
      <w:r w:rsidRPr="002B3FDB">
        <w:rPr>
          <w:noProof/>
          <w:szCs w:val="22"/>
        </w:rPr>
        <w:tab/>
        <w:t>Chairman, Department of Statistics, Stanford University</w:t>
      </w:r>
    </w:p>
    <w:p w14:paraId="01667B92" w14:textId="77777777" w:rsidR="002B3FDB" w:rsidRPr="002B3FDB" w:rsidRDefault="002B3FDB" w:rsidP="002B3FDB">
      <w:pPr>
        <w:ind w:left="360"/>
        <w:rPr>
          <w:noProof/>
          <w:szCs w:val="22"/>
        </w:rPr>
      </w:pPr>
      <w:r w:rsidRPr="002B3FDB">
        <w:rPr>
          <w:noProof/>
          <w:szCs w:val="22"/>
        </w:rPr>
        <w:t>1994 &amp; 1997</w:t>
      </w:r>
      <w:r w:rsidRPr="002B3FDB">
        <w:rPr>
          <w:noProof/>
          <w:szCs w:val="22"/>
        </w:rPr>
        <w:tab/>
      </w:r>
      <w:r w:rsidRPr="002B3FDB">
        <w:rPr>
          <w:noProof/>
          <w:szCs w:val="22"/>
        </w:rPr>
        <w:tab/>
        <w:t>Chairman, University Advisory Board, Stanford University</w:t>
      </w:r>
    </w:p>
    <w:p w14:paraId="539F520D" w14:textId="77777777" w:rsidR="002B3FDB" w:rsidRPr="002B3FDB" w:rsidRDefault="002B3FDB" w:rsidP="002B3FDB">
      <w:pPr>
        <w:ind w:left="360"/>
        <w:rPr>
          <w:noProof/>
          <w:szCs w:val="22"/>
        </w:rPr>
      </w:pPr>
      <w:r w:rsidRPr="002B3FDB">
        <w:rPr>
          <w:noProof/>
          <w:szCs w:val="22"/>
        </w:rPr>
        <w:t xml:space="preserve">1998--1999 </w:t>
      </w:r>
      <w:r w:rsidRPr="002B3FDB">
        <w:rPr>
          <w:noProof/>
          <w:szCs w:val="22"/>
        </w:rPr>
        <w:tab/>
      </w:r>
      <w:r w:rsidRPr="002B3FDB">
        <w:rPr>
          <w:noProof/>
          <w:szCs w:val="22"/>
        </w:rPr>
        <w:tab/>
        <w:t>Chairman, Stanford University Faculty Senate</w:t>
      </w:r>
    </w:p>
    <w:p w14:paraId="221B978A" w14:textId="77777777" w:rsidR="002B3FDB" w:rsidRPr="002B3FDB" w:rsidRDefault="002B3FDB" w:rsidP="002B3FDB">
      <w:pPr>
        <w:ind w:left="360"/>
        <w:rPr>
          <w:noProof/>
          <w:szCs w:val="22"/>
        </w:rPr>
      </w:pPr>
      <w:r w:rsidRPr="002B3FDB">
        <w:rPr>
          <w:noProof/>
          <w:szCs w:val="22"/>
        </w:rPr>
        <w:t xml:space="preserve">2004 </w:t>
      </w:r>
      <w:r w:rsidRPr="002B3FDB">
        <w:rPr>
          <w:noProof/>
          <w:szCs w:val="22"/>
        </w:rPr>
        <w:tab/>
      </w:r>
      <w:r w:rsidRPr="002B3FDB">
        <w:rPr>
          <w:noProof/>
          <w:szCs w:val="22"/>
        </w:rPr>
        <w:tab/>
      </w:r>
      <w:r w:rsidRPr="002B3FDB">
        <w:rPr>
          <w:noProof/>
          <w:szCs w:val="22"/>
        </w:rPr>
        <w:tab/>
      </w:r>
      <w:r w:rsidRPr="002B3FDB">
        <w:rPr>
          <w:noProof/>
          <w:szCs w:val="22"/>
        </w:rPr>
        <w:tab/>
        <w:t>President, American Statistical Association</w:t>
      </w:r>
    </w:p>
    <w:p w14:paraId="17914DC5" w14:textId="77777777" w:rsidR="002B3FDB" w:rsidRPr="002B3FDB" w:rsidRDefault="002B3FDB" w:rsidP="002B3FDB">
      <w:pPr>
        <w:ind w:left="360"/>
        <w:rPr>
          <w:noProof/>
          <w:szCs w:val="22"/>
        </w:rPr>
      </w:pPr>
      <w:r w:rsidRPr="002B3FDB">
        <w:rPr>
          <w:noProof/>
          <w:szCs w:val="22"/>
        </w:rPr>
        <w:t>2006--2012</w:t>
      </w:r>
      <w:r w:rsidRPr="002B3FDB">
        <w:rPr>
          <w:noProof/>
          <w:szCs w:val="22"/>
        </w:rPr>
        <w:tab/>
      </w:r>
      <w:r w:rsidRPr="002B3FDB">
        <w:rPr>
          <w:noProof/>
          <w:szCs w:val="22"/>
        </w:rPr>
        <w:tab/>
        <w:t xml:space="preserve">Founding Editor, </w:t>
      </w:r>
      <w:r w:rsidRPr="002B3FDB">
        <w:rPr>
          <w:i/>
          <w:noProof/>
          <w:szCs w:val="22"/>
        </w:rPr>
        <w:t>Annals of Applied Statistics</w:t>
      </w:r>
    </w:p>
    <w:p w14:paraId="3C6140BB" w14:textId="77777777" w:rsidR="002B3FDB" w:rsidRPr="002B3FDB" w:rsidRDefault="002B3FDB" w:rsidP="002B3FDB">
      <w:pPr>
        <w:rPr>
          <w:bCs/>
          <w:noProof/>
          <w:szCs w:val="22"/>
        </w:rPr>
      </w:pPr>
      <w:bookmarkStart w:id="0" w:name="_GoBack"/>
      <w:bookmarkEnd w:id="0"/>
    </w:p>
    <w:p w14:paraId="79FD0851" w14:textId="77777777" w:rsidR="002B3FDB" w:rsidRPr="002B3FDB" w:rsidRDefault="002B3FDB" w:rsidP="002B3FDB">
      <w:pPr>
        <w:ind w:left="360"/>
        <w:rPr>
          <w:b/>
          <w:noProof/>
          <w:szCs w:val="22"/>
          <w:u w:val="single"/>
        </w:rPr>
      </w:pPr>
      <w:r w:rsidRPr="002B3FDB">
        <w:rPr>
          <w:b/>
          <w:bCs/>
          <w:noProof/>
          <w:szCs w:val="22"/>
          <w:u w:val="single"/>
        </w:rPr>
        <w:t>Honors</w:t>
      </w:r>
    </w:p>
    <w:p w14:paraId="7B350914" w14:textId="77777777" w:rsidR="002B3FDB" w:rsidRPr="002B3FDB" w:rsidRDefault="002B3FDB" w:rsidP="002B3FDB">
      <w:pPr>
        <w:ind w:left="360"/>
        <w:rPr>
          <w:noProof/>
          <w:szCs w:val="22"/>
        </w:rPr>
      </w:pPr>
      <w:r w:rsidRPr="002B3FDB">
        <w:rPr>
          <w:noProof/>
          <w:szCs w:val="22"/>
        </w:rPr>
        <w:t>Rietz Lecturer, Annual Meeting of IMS, August 1977</w:t>
      </w:r>
    </w:p>
    <w:p w14:paraId="3CAA35A2" w14:textId="77777777" w:rsidR="002B3FDB" w:rsidRPr="002B3FDB" w:rsidRDefault="002B3FDB" w:rsidP="002B3FDB">
      <w:pPr>
        <w:ind w:left="360"/>
        <w:rPr>
          <w:noProof/>
          <w:szCs w:val="22"/>
        </w:rPr>
      </w:pPr>
      <w:r w:rsidRPr="002B3FDB">
        <w:rPr>
          <w:noProof/>
          <w:szCs w:val="22"/>
        </w:rPr>
        <w:t>Ford Prize, Mathematical Association of America, 1978</w:t>
      </w:r>
    </w:p>
    <w:p w14:paraId="68D85AF2" w14:textId="77777777" w:rsidR="002B3FDB" w:rsidRPr="002B3FDB" w:rsidRDefault="002B3FDB" w:rsidP="002B3FDB">
      <w:pPr>
        <w:ind w:left="360"/>
        <w:rPr>
          <w:noProof/>
          <w:szCs w:val="22"/>
        </w:rPr>
      </w:pPr>
      <w:r w:rsidRPr="002B3FDB">
        <w:rPr>
          <w:noProof/>
          <w:szCs w:val="22"/>
        </w:rPr>
        <w:t>Wald Lecturer, Annual Meeting of the IMS, August 1981</w:t>
      </w:r>
    </w:p>
    <w:p w14:paraId="4F25E09D" w14:textId="77777777" w:rsidR="002B3FDB" w:rsidRPr="002B3FDB" w:rsidRDefault="002B3FDB" w:rsidP="002B3FDB">
      <w:pPr>
        <w:ind w:left="360"/>
        <w:rPr>
          <w:noProof/>
          <w:szCs w:val="22"/>
        </w:rPr>
      </w:pPr>
      <w:r w:rsidRPr="002B3FDB">
        <w:rPr>
          <w:noProof/>
          <w:szCs w:val="22"/>
        </w:rPr>
        <w:t>``Outstanding Statistician of The Year'', ASA, Chicago Chapter, 1981</w:t>
      </w:r>
    </w:p>
    <w:p w14:paraId="7B26B3AF" w14:textId="77777777" w:rsidR="002B3FDB" w:rsidRPr="002B3FDB" w:rsidRDefault="002B3FDB" w:rsidP="002B3FDB">
      <w:pPr>
        <w:ind w:left="360"/>
        <w:rPr>
          <w:noProof/>
          <w:szCs w:val="22"/>
        </w:rPr>
      </w:pPr>
      <w:r w:rsidRPr="002B3FDB">
        <w:rPr>
          <w:noProof/>
          <w:szCs w:val="22"/>
        </w:rPr>
        <w:t>MacArthur Prize Fellow, January 1983</w:t>
      </w:r>
    </w:p>
    <w:p w14:paraId="16C839D0" w14:textId="77777777" w:rsidR="002B3FDB" w:rsidRPr="002B3FDB" w:rsidRDefault="002B3FDB" w:rsidP="002B3FDB">
      <w:pPr>
        <w:ind w:left="360"/>
        <w:rPr>
          <w:noProof/>
          <w:szCs w:val="22"/>
        </w:rPr>
      </w:pPr>
      <w:r w:rsidRPr="002B3FDB">
        <w:rPr>
          <w:noProof/>
          <w:szCs w:val="22"/>
        </w:rPr>
        <w:lastRenderedPageBreak/>
        <w:t>American Academy of Arts and Sciences, 1983</w:t>
      </w:r>
    </w:p>
    <w:p w14:paraId="1A5E9025" w14:textId="77777777" w:rsidR="002B3FDB" w:rsidRPr="002B3FDB" w:rsidRDefault="002B3FDB" w:rsidP="002B3FDB">
      <w:pPr>
        <w:ind w:left="360"/>
        <w:rPr>
          <w:noProof/>
          <w:szCs w:val="22"/>
        </w:rPr>
      </w:pPr>
      <w:r w:rsidRPr="002B3FDB">
        <w:rPr>
          <w:noProof/>
          <w:szCs w:val="22"/>
        </w:rPr>
        <w:t>National Academy of Sciences, 1985</w:t>
      </w:r>
    </w:p>
    <w:p w14:paraId="38CC9C08" w14:textId="77777777" w:rsidR="002B3FDB" w:rsidRPr="002B3FDB" w:rsidRDefault="002B3FDB" w:rsidP="002B3FDB">
      <w:pPr>
        <w:ind w:left="360"/>
        <w:rPr>
          <w:noProof/>
          <w:szCs w:val="22"/>
        </w:rPr>
      </w:pPr>
      <w:r w:rsidRPr="002B3FDB">
        <w:rPr>
          <w:noProof/>
          <w:szCs w:val="22"/>
        </w:rPr>
        <w:t>Endowed Chair, Max H. Stein Professor of Statistics and Biostatistics, December 1987</w:t>
      </w:r>
    </w:p>
    <w:p w14:paraId="1C8AA86A" w14:textId="77777777" w:rsidR="002B3FDB" w:rsidRPr="002B3FDB" w:rsidRDefault="002B3FDB" w:rsidP="002B3FDB">
      <w:pPr>
        <w:ind w:left="360"/>
        <w:rPr>
          <w:noProof/>
          <w:szCs w:val="22"/>
        </w:rPr>
      </w:pPr>
      <w:r w:rsidRPr="002B3FDB">
        <w:rPr>
          <w:noProof/>
          <w:szCs w:val="22"/>
        </w:rPr>
        <w:t>Wilks Medal, American Statistical Association, August 1990</w:t>
      </w:r>
    </w:p>
    <w:p w14:paraId="11476123" w14:textId="0E6BA541" w:rsidR="00AE0C01" w:rsidRDefault="002B3FDB" w:rsidP="002B3FDB">
      <w:pPr>
        <w:ind w:left="360"/>
        <w:rPr>
          <w:noProof/>
          <w:szCs w:val="22"/>
        </w:rPr>
      </w:pPr>
      <w:r w:rsidRPr="002B3FDB">
        <w:rPr>
          <w:noProof/>
          <w:szCs w:val="22"/>
        </w:rPr>
        <w:t xml:space="preserve">Honorary Doctor of Science Degree, </w:t>
      </w:r>
      <w:smartTag w:uri="urn:schemas-microsoft-com:office:smarttags" w:element="place">
        <w:smartTag w:uri="urn:schemas-microsoft-com:office:smarttags" w:element="PlaceType">
          <w:r w:rsidRPr="002B3FDB">
            <w:rPr>
              <w:noProof/>
              <w:szCs w:val="22"/>
            </w:rPr>
            <w:t>University</w:t>
          </w:r>
        </w:smartTag>
        <w:r w:rsidRPr="002B3FDB">
          <w:rPr>
            <w:noProof/>
            <w:szCs w:val="22"/>
          </w:rPr>
          <w:t xml:space="preserve"> of </w:t>
        </w:r>
        <w:smartTag w:uri="urn:schemas-microsoft-com:office:smarttags" w:element="PlaceName">
          <w:r w:rsidRPr="002B3FDB">
            <w:rPr>
              <w:noProof/>
              <w:szCs w:val="22"/>
            </w:rPr>
            <w:t>Chicago</w:t>
          </w:r>
        </w:smartTag>
      </w:smartTag>
      <w:r w:rsidRPr="002B3FDB">
        <w:rPr>
          <w:noProof/>
          <w:szCs w:val="22"/>
        </w:rPr>
        <w:t>, June 1995</w:t>
      </w:r>
    </w:p>
    <w:p w14:paraId="06D90CDD" w14:textId="77777777" w:rsidR="002B3FDB" w:rsidRPr="00F10608" w:rsidRDefault="002B3FDB" w:rsidP="002B3FDB">
      <w:pPr>
        <w:pStyle w:val="DataField11pt"/>
        <w:spacing w:line="240" w:lineRule="auto"/>
        <w:ind w:left="360"/>
        <w:rPr>
          <w:rFonts w:cs="Times New Roman"/>
          <w:szCs w:val="22"/>
        </w:rPr>
      </w:pPr>
      <w:r w:rsidRPr="00F10608">
        <w:rPr>
          <w:rFonts w:cs="Times New Roman"/>
          <w:szCs w:val="22"/>
        </w:rPr>
        <w:t>Fisher Prize, COPSS, July 1996</w:t>
      </w:r>
    </w:p>
    <w:p w14:paraId="4FCF334E" w14:textId="77777777" w:rsidR="002B3FDB" w:rsidRPr="00F10608" w:rsidRDefault="002B3FDB" w:rsidP="002B3FDB">
      <w:pPr>
        <w:pStyle w:val="DataField11pt"/>
        <w:spacing w:line="240" w:lineRule="auto"/>
        <w:ind w:left="360"/>
        <w:rPr>
          <w:rFonts w:cs="Times New Roman"/>
          <w:szCs w:val="22"/>
        </w:rPr>
      </w:pPr>
      <w:r w:rsidRPr="00F10608">
        <w:rPr>
          <w:rFonts w:cs="Times New Roman"/>
          <w:szCs w:val="22"/>
        </w:rPr>
        <w:t xml:space="preserve">Doctor Honoris Causa, Universidad Carlos III de Madrid, </w:t>
      </w:r>
      <w:smartTag w:uri="urn:schemas-microsoft-com:office:smarttags" w:element="country-region">
        <w:smartTag w:uri="urn:schemas-microsoft-com:office:smarttags" w:element="place">
          <w:r w:rsidRPr="00F10608">
            <w:rPr>
              <w:rFonts w:cs="Times New Roman"/>
              <w:szCs w:val="22"/>
            </w:rPr>
            <w:t>Spain</w:t>
          </w:r>
        </w:smartTag>
      </w:smartTag>
      <w:r w:rsidRPr="00F10608">
        <w:rPr>
          <w:rFonts w:cs="Times New Roman"/>
          <w:szCs w:val="22"/>
        </w:rPr>
        <w:t>, 1998</w:t>
      </w:r>
    </w:p>
    <w:p w14:paraId="5AF019F1" w14:textId="77777777" w:rsidR="002B3FDB" w:rsidRPr="00F10608" w:rsidRDefault="002B3FDB" w:rsidP="002B3FDB">
      <w:pPr>
        <w:pStyle w:val="DataField11pt"/>
        <w:spacing w:line="240" w:lineRule="auto"/>
        <w:ind w:left="360"/>
        <w:rPr>
          <w:rFonts w:cs="Times New Roman"/>
          <w:szCs w:val="22"/>
        </w:rPr>
      </w:pPr>
      <w:r w:rsidRPr="00F10608">
        <w:rPr>
          <w:rFonts w:cs="Times New Roman"/>
          <w:szCs w:val="22"/>
        </w:rPr>
        <w:t>Parzen Prize for Statistical Innovation, 1998</w:t>
      </w:r>
    </w:p>
    <w:p w14:paraId="48200DE3" w14:textId="77777777" w:rsidR="002B3FDB" w:rsidRPr="00F10608" w:rsidRDefault="002B3FDB" w:rsidP="002B3FDB">
      <w:pPr>
        <w:pStyle w:val="DataField11pt"/>
        <w:spacing w:line="240" w:lineRule="auto"/>
        <w:ind w:left="360"/>
        <w:rPr>
          <w:rFonts w:cs="Times New Roman"/>
          <w:szCs w:val="22"/>
        </w:rPr>
      </w:pPr>
      <w:r w:rsidRPr="00F10608">
        <w:rPr>
          <w:rFonts w:cs="Times New Roman"/>
          <w:szCs w:val="22"/>
        </w:rPr>
        <w:t xml:space="preserve">Doctor Honoris Causa, </w:t>
      </w:r>
      <w:smartTag w:uri="urn:schemas-microsoft-com:office:smarttags" w:element="place">
        <w:smartTag w:uri="urn:schemas-microsoft-com:office:smarttags" w:element="City">
          <w:r w:rsidRPr="00F10608">
            <w:rPr>
              <w:rFonts w:cs="Times New Roman"/>
              <w:szCs w:val="22"/>
            </w:rPr>
            <w:t>University of Oslo</w:t>
          </w:r>
        </w:smartTag>
        <w:r w:rsidRPr="00F10608">
          <w:rPr>
            <w:rFonts w:cs="Times New Roman"/>
            <w:szCs w:val="22"/>
          </w:rPr>
          <w:t xml:space="preserve">, </w:t>
        </w:r>
        <w:smartTag w:uri="urn:schemas-microsoft-com:office:smarttags" w:element="country-region">
          <w:r w:rsidRPr="00F10608">
            <w:rPr>
              <w:rFonts w:cs="Times New Roman"/>
              <w:szCs w:val="22"/>
            </w:rPr>
            <w:t>Norway</w:t>
          </w:r>
        </w:smartTag>
      </w:smartTag>
      <w:r w:rsidRPr="00F10608">
        <w:rPr>
          <w:rFonts w:cs="Times New Roman"/>
          <w:szCs w:val="22"/>
        </w:rPr>
        <w:t>, 2002</w:t>
      </w:r>
    </w:p>
    <w:p w14:paraId="10C1A76B" w14:textId="77777777" w:rsidR="002B3FDB" w:rsidRPr="00F10608" w:rsidRDefault="002B3FDB" w:rsidP="002B3FDB">
      <w:pPr>
        <w:pStyle w:val="DataField11pt"/>
        <w:spacing w:line="240" w:lineRule="auto"/>
        <w:ind w:left="360"/>
        <w:rPr>
          <w:rFonts w:cs="Times New Roman"/>
          <w:szCs w:val="22"/>
        </w:rPr>
      </w:pPr>
      <w:r w:rsidRPr="00F10608">
        <w:rPr>
          <w:rFonts w:cs="Times New Roman"/>
          <w:szCs w:val="22"/>
        </w:rPr>
        <w:t xml:space="preserve">C.R. and Bhargarvi Rao Prize, The </w:t>
      </w:r>
      <w:smartTag w:uri="urn:schemas-microsoft-com:office:smarttags" w:element="place">
        <w:smartTag w:uri="urn:schemas-microsoft-com:office:smarttags" w:element="PlaceName">
          <w:r w:rsidRPr="00F10608">
            <w:rPr>
              <w:rFonts w:cs="Times New Roman"/>
              <w:szCs w:val="22"/>
            </w:rPr>
            <w:t>Pennsylvania</w:t>
          </w:r>
        </w:smartTag>
        <w:r w:rsidRPr="00F10608">
          <w:rPr>
            <w:rFonts w:cs="Times New Roman"/>
            <w:szCs w:val="22"/>
          </w:rPr>
          <w:t xml:space="preserve"> </w:t>
        </w:r>
        <w:smartTag w:uri="urn:schemas-microsoft-com:office:smarttags" w:element="PlaceType">
          <w:r w:rsidRPr="00F10608">
            <w:rPr>
              <w:rFonts w:cs="Times New Roman"/>
              <w:szCs w:val="22"/>
            </w:rPr>
            <w:t>State</w:t>
          </w:r>
        </w:smartTag>
        <w:r w:rsidRPr="00F10608">
          <w:rPr>
            <w:rFonts w:cs="Times New Roman"/>
            <w:szCs w:val="22"/>
          </w:rPr>
          <w:t xml:space="preserve"> </w:t>
        </w:r>
        <w:smartTag w:uri="urn:schemas-microsoft-com:office:smarttags" w:element="PlaceType">
          <w:r w:rsidRPr="00F10608">
            <w:rPr>
              <w:rFonts w:cs="Times New Roman"/>
              <w:szCs w:val="22"/>
            </w:rPr>
            <w:t>University</w:t>
          </w:r>
        </w:smartTag>
      </w:smartTag>
      <w:r w:rsidRPr="00F10608">
        <w:rPr>
          <w:rFonts w:cs="Times New Roman"/>
          <w:szCs w:val="22"/>
        </w:rPr>
        <w:t>, 2003</w:t>
      </w:r>
    </w:p>
    <w:p w14:paraId="70406133" w14:textId="77777777" w:rsidR="002B3FDB" w:rsidRPr="00F10608" w:rsidRDefault="002B3FDB" w:rsidP="002B3FDB">
      <w:pPr>
        <w:pStyle w:val="DataField11pt"/>
        <w:spacing w:line="240" w:lineRule="auto"/>
        <w:ind w:left="360"/>
        <w:rPr>
          <w:rFonts w:cs="Times New Roman"/>
          <w:szCs w:val="22"/>
        </w:rPr>
      </w:pPr>
      <w:r w:rsidRPr="00CE633A">
        <w:rPr>
          <w:rFonts w:cs="Times New Roman"/>
          <w:szCs w:val="22"/>
        </w:rPr>
        <w:t>Noether Prize, American Statistical Association, 2006</w:t>
      </w:r>
    </w:p>
    <w:p w14:paraId="70DDDD9B" w14:textId="77777777" w:rsidR="002B3FDB" w:rsidRDefault="002B3FDB" w:rsidP="002B3FDB">
      <w:pPr>
        <w:pStyle w:val="DataField11pt"/>
        <w:spacing w:line="240" w:lineRule="auto"/>
        <w:ind w:left="360"/>
        <w:rPr>
          <w:rFonts w:cs="Times New Roman"/>
          <w:szCs w:val="22"/>
        </w:rPr>
      </w:pPr>
      <w:r w:rsidRPr="00F10608">
        <w:rPr>
          <w:rFonts w:cs="Times New Roman"/>
          <w:szCs w:val="22"/>
        </w:rPr>
        <w:t>National Medal of Science, 2005 (awarded 2007)</w:t>
      </w:r>
    </w:p>
    <w:p w14:paraId="0A8B7BB9" w14:textId="77777777" w:rsidR="002B3FDB" w:rsidRDefault="002B3FDB" w:rsidP="002B3FDB">
      <w:pPr>
        <w:pStyle w:val="DataField11pt"/>
        <w:spacing w:line="240" w:lineRule="auto"/>
        <w:ind w:left="360"/>
        <w:rPr>
          <w:rFonts w:cs="Times New Roman"/>
          <w:szCs w:val="22"/>
        </w:rPr>
      </w:pPr>
      <w:r w:rsidRPr="007F3FF0">
        <w:rPr>
          <w:rFonts w:cs="Times New Roman"/>
          <w:szCs w:val="22"/>
        </w:rPr>
        <w:t>Distinguished Alumni Award, California Institute of Technology, 2010</w:t>
      </w:r>
    </w:p>
    <w:p w14:paraId="3D191D61" w14:textId="7E9B60F8" w:rsidR="00AE0C01" w:rsidRDefault="002B3FDB" w:rsidP="002B3FDB">
      <w:pPr>
        <w:ind w:left="360"/>
      </w:pPr>
      <w:r>
        <w:rPr>
          <w:szCs w:val="22"/>
        </w:rPr>
        <w:t>Guy Medal in Gold, Royal Statistical Society, 2014</w:t>
      </w:r>
    </w:p>
    <w:p w14:paraId="4DF5C4C6" w14:textId="293D902D" w:rsidR="00E67A05" w:rsidRDefault="00E67A05" w:rsidP="00D825A1">
      <w:pPr>
        <w:pStyle w:val="Heading1"/>
      </w:pPr>
      <w:r>
        <w:t>C.</w:t>
      </w:r>
      <w:r>
        <w:tab/>
      </w:r>
      <w:r w:rsidR="00C00F42">
        <w:t>Contribution to Science</w:t>
      </w:r>
      <w:r w:rsidR="00602D0E">
        <w:t>:</w:t>
      </w:r>
    </w:p>
    <w:p w14:paraId="7D4FED2B" w14:textId="77777777" w:rsidR="00196D78" w:rsidRDefault="00196D78" w:rsidP="00196D78">
      <w:pPr>
        <w:rPr>
          <w:rFonts w:cs="Arial"/>
        </w:rPr>
      </w:pPr>
    </w:p>
    <w:p w14:paraId="762AE85E" w14:textId="2D2D8EDA" w:rsidR="005B2B60" w:rsidRPr="00602D0E" w:rsidRDefault="005B2B60" w:rsidP="00293520">
      <w:pPr>
        <w:pStyle w:val="ListParagraph"/>
        <w:numPr>
          <w:ilvl w:val="0"/>
          <w:numId w:val="22"/>
        </w:numPr>
        <w:rPr>
          <w:rFonts w:cs="Arial"/>
        </w:rPr>
      </w:pPr>
      <w:r w:rsidRPr="00602D0E">
        <w:rPr>
          <w:rFonts w:cs="Arial"/>
        </w:rPr>
        <w:t>BOOTSTRAP METHODS. The bootstrap is a general method for assessing the accuracy of a statistic computed from an observed set of data. It substitutes computation for the theoretical approximations familiar in applied work. The payoff is that the bootstrap estimates of accuracy can be carried out for almost any problem, no matter how complicated the underlying probability model may be. Since my original 1979 paper I have pursued the underlying theory supporting the calculations, with extensions to confidence intervals and measures of prediction error.</w:t>
      </w:r>
    </w:p>
    <w:p w14:paraId="10417F2E" w14:textId="2FDC2069" w:rsidR="005B2B60" w:rsidRPr="004C493C" w:rsidRDefault="005B2B60" w:rsidP="004C493C">
      <w:pPr>
        <w:pStyle w:val="ListParagraph"/>
        <w:numPr>
          <w:ilvl w:val="1"/>
          <w:numId w:val="22"/>
        </w:numPr>
        <w:rPr>
          <w:rFonts w:cs="Arial"/>
        </w:rPr>
      </w:pPr>
      <w:r w:rsidRPr="004C493C">
        <w:rPr>
          <w:rFonts w:cs="Arial"/>
        </w:rPr>
        <w:t xml:space="preserve">Bootstrap methods: Another look at the jackknife (1979). </w:t>
      </w:r>
      <w:r w:rsidRPr="00302699">
        <w:rPr>
          <w:rFonts w:cs="Arial"/>
          <w:i/>
        </w:rPr>
        <w:t>Ann. Statist</w:t>
      </w:r>
      <w:r w:rsidRPr="004C493C">
        <w:rPr>
          <w:rFonts w:cs="Arial"/>
        </w:rPr>
        <w:t xml:space="preserve">. </w:t>
      </w:r>
      <w:r w:rsidRPr="00302699">
        <w:rPr>
          <w:rFonts w:cs="Arial"/>
          <w:b/>
        </w:rPr>
        <w:t>7</w:t>
      </w:r>
      <w:r w:rsidRPr="004C493C">
        <w:rPr>
          <w:rFonts w:cs="Arial"/>
        </w:rPr>
        <w:t>, 1</w:t>
      </w:r>
      <w:r w:rsidR="0085355D">
        <w:rPr>
          <w:rFonts w:cs="Arial"/>
        </w:rPr>
        <w:t>–</w:t>
      </w:r>
      <w:r w:rsidRPr="004C493C">
        <w:rPr>
          <w:rFonts w:cs="Arial"/>
        </w:rPr>
        <w:t>26.</w:t>
      </w:r>
    </w:p>
    <w:p w14:paraId="1ACF27C3" w14:textId="5A68B337" w:rsidR="005B2B60" w:rsidRPr="004C493C" w:rsidRDefault="005B2B60" w:rsidP="004C493C">
      <w:pPr>
        <w:pStyle w:val="ListParagraph"/>
        <w:numPr>
          <w:ilvl w:val="1"/>
          <w:numId w:val="22"/>
        </w:numPr>
        <w:rPr>
          <w:rFonts w:cs="Arial"/>
        </w:rPr>
      </w:pPr>
      <w:r w:rsidRPr="004C493C">
        <w:rPr>
          <w:rFonts w:cs="Arial"/>
        </w:rPr>
        <w:t xml:space="preserve">Better bootstrap confidence intervals (1987). </w:t>
      </w:r>
      <w:r w:rsidRPr="00302699">
        <w:rPr>
          <w:rFonts w:cs="Arial"/>
          <w:i/>
        </w:rPr>
        <w:t>JASA</w:t>
      </w:r>
      <w:r w:rsidRPr="004C493C">
        <w:rPr>
          <w:rFonts w:cs="Arial"/>
        </w:rPr>
        <w:t xml:space="preserve"> </w:t>
      </w:r>
      <w:r w:rsidRPr="00302699">
        <w:rPr>
          <w:rFonts w:cs="Arial"/>
          <w:b/>
        </w:rPr>
        <w:t>82</w:t>
      </w:r>
      <w:r w:rsidRPr="004C493C">
        <w:rPr>
          <w:rFonts w:cs="Arial"/>
        </w:rPr>
        <w:t>, 171</w:t>
      </w:r>
      <w:r w:rsidR="0085355D">
        <w:rPr>
          <w:rFonts w:cs="Arial"/>
        </w:rPr>
        <w:t>–</w:t>
      </w:r>
      <w:r w:rsidRPr="004C493C">
        <w:rPr>
          <w:rFonts w:cs="Arial"/>
        </w:rPr>
        <w:t>200 with discussion and Rejoinder.</w:t>
      </w:r>
    </w:p>
    <w:p w14:paraId="39E30F7D" w14:textId="6CD3FF55" w:rsidR="005B2B60" w:rsidRPr="004C493C" w:rsidRDefault="005B2B60" w:rsidP="004C493C">
      <w:pPr>
        <w:pStyle w:val="ListParagraph"/>
        <w:numPr>
          <w:ilvl w:val="1"/>
          <w:numId w:val="22"/>
        </w:numPr>
        <w:rPr>
          <w:rFonts w:cs="Arial"/>
        </w:rPr>
      </w:pPr>
      <w:r w:rsidRPr="004C493C">
        <w:rPr>
          <w:rFonts w:cs="Arial"/>
        </w:rPr>
        <w:t xml:space="preserve">Bootstrap confidence intervals (with T. </w:t>
      </w:r>
      <w:proofErr w:type="spellStart"/>
      <w:r w:rsidRPr="004C493C">
        <w:rPr>
          <w:rFonts w:cs="Arial"/>
        </w:rPr>
        <w:t>DiCiccio</w:t>
      </w:r>
      <w:proofErr w:type="spellEnd"/>
      <w:r w:rsidRPr="004C493C">
        <w:rPr>
          <w:rFonts w:cs="Arial"/>
        </w:rPr>
        <w:t xml:space="preserve">) (1996). </w:t>
      </w:r>
      <w:r w:rsidRPr="00302699">
        <w:rPr>
          <w:rFonts w:cs="Arial"/>
          <w:i/>
        </w:rPr>
        <w:t>Statist. Sci</w:t>
      </w:r>
      <w:r w:rsidRPr="004C493C">
        <w:rPr>
          <w:rFonts w:cs="Arial"/>
        </w:rPr>
        <w:t xml:space="preserve">. </w:t>
      </w:r>
      <w:r w:rsidRPr="00302699">
        <w:rPr>
          <w:rFonts w:cs="Arial"/>
          <w:b/>
        </w:rPr>
        <w:t>11</w:t>
      </w:r>
      <w:r w:rsidRPr="004C493C">
        <w:rPr>
          <w:rFonts w:cs="Arial"/>
        </w:rPr>
        <w:t>, 189</w:t>
      </w:r>
      <w:r w:rsidR="0085355D">
        <w:rPr>
          <w:rFonts w:cs="Arial"/>
        </w:rPr>
        <w:t>–</w:t>
      </w:r>
      <w:r w:rsidRPr="004C493C">
        <w:rPr>
          <w:rFonts w:cs="Arial"/>
        </w:rPr>
        <w:t>212.</w:t>
      </w:r>
    </w:p>
    <w:p w14:paraId="0BE19945" w14:textId="4FAEFF66" w:rsidR="005B2B60" w:rsidRPr="00302699" w:rsidRDefault="005B2B60" w:rsidP="001E5ECC">
      <w:pPr>
        <w:pStyle w:val="ListParagraph"/>
        <w:numPr>
          <w:ilvl w:val="1"/>
          <w:numId w:val="22"/>
        </w:numPr>
        <w:rPr>
          <w:rFonts w:cs="Arial"/>
        </w:rPr>
      </w:pPr>
      <w:r w:rsidRPr="00302699">
        <w:rPr>
          <w:rFonts w:cs="Arial"/>
        </w:rPr>
        <w:t xml:space="preserve">The bootstrap and Markov chain Monte Carlo (2011). </w:t>
      </w:r>
      <w:r w:rsidRPr="00302699">
        <w:rPr>
          <w:rFonts w:cs="Arial"/>
          <w:i/>
        </w:rPr>
        <w:t xml:space="preserve">J. </w:t>
      </w:r>
      <w:proofErr w:type="spellStart"/>
      <w:r w:rsidRPr="00302699">
        <w:rPr>
          <w:rFonts w:cs="Arial"/>
          <w:i/>
        </w:rPr>
        <w:t>Biopharm</w:t>
      </w:r>
      <w:proofErr w:type="spellEnd"/>
      <w:r w:rsidRPr="00302699">
        <w:rPr>
          <w:rFonts w:cs="Arial"/>
          <w:i/>
        </w:rPr>
        <w:t>. Statist</w:t>
      </w:r>
      <w:r w:rsidRPr="00302699">
        <w:rPr>
          <w:rFonts w:cs="Arial"/>
        </w:rPr>
        <w:t xml:space="preserve">. </w:t>
      </w:r>
      <w:r w:rsidRPr="00302699">
        <w:rPr>
          <w:rFonts w:cs="Arial"/>
          <w:b/>
        </w:rPr>
        <w:t>21</w:t>
      </w:r>
      <w:r w:rsidRPr="00302699">
        <w:rPr>
          <w:rFonts w:cs="Arial"/>
        </w:rPr>
        <w:t>, 1052</w:t>
      </w:r>
      <w:r w:rsidR="0085355D" w:rsidRPr="00302699">
        <w:rPr>
          <w:rFonts w:cs="Arial"/>
        </w:rPr>
        <w:t>–</w:t>
      </w:r>
      <w:r w:rsidRPr="00302699">
        <w:rPr>
          <w:rFonts w:cs="Arial"/>
        </w:rPr>
        <w:t>1062. doi:10.1080/10543406.2011.607736</w:t>
      </w:r>
    </w:p>
    <w:p w14:paraId="672148D8" w14:textId="77777777" w:rsidR="005B2B60" w:rsidRPr="005B2B60" w:rsidRDefault="005B2B60" w:rsidP="005B2B60">
      <w:pPr>
        <w:rPr>
          <w:rFonts w:cs="Arial"/>
        </w:rPr>
      </w:pPr>
    </w:p>
    <w:p w14:paraId="5404D675" w14:textId="05CF398A" w:rsidR="005B2B60" w:rsidRPr="00602D0E" w:rsidRDefault="005B2B60" w:rsidP="003755ED">
      <w:pPr>
        <w:pStyle w:val="ListParagraph"/>
        <w:numPr>
          <w:ilvl w:val="0"/>
          <w:numId w:val="22"/>
        </w:numPr>
        <w:rPr>
          <w:rFonts w:cs="Arial"/>
        </w:rPr>
      </w:pPr>
      <w:r w:rsidRPr="00602D0E">
        <w:rPr>
          <w:rFonts w:cs="Arial"/>
        </w:rPr>
        <w:t>LARGE-SCALE TESTING. Modern scientific technology produces massive data sets, often with thousands of hypothesis tests to perform at the same time. After introducing “local false discovery rates” for this task, I have pursued both their theory and application in applied practice.</w:t>
      </w:r>
    </w:p>
    <w:p w14:paraId="75FADB5B" w14:textId="26824281" w:rsidR="005B2B60" w:rsidRPr="00E350F1" w:rsidRDefault="005B2B60" w:rsidP="00407B24">
      <w:pPr>
        <w:pStyle w:val="ListParagraph"/>
        <w:numPr>
          <w:ilvl w:val="1"/>
          <w:numId w:val="22"/>
        </w:numPr>
        <w:rPr>
          <w:rFonts w:cs="Arial"/>
        </w:rPr>
      </w:pPr>
      <w:r w:rsidRPr="00E350F1">
        <w:rPr>
          <w:rFonts w:cs="Arial"/>
        </w:rPr>
        <w:t xml:space="preserve">Empirical Bayes analysis of a microarray experiment (with R. </w:t>
      </w:r>
      <w:proofErr w:type="spellStart"/>
      <w:r w:rsidRPr="00E350F1">
        <w:rPr>
          <w:rFonts w:cs="Arial"/>
        </w:rPr>
        <w:t>Tibshirani</w:t>
      </w:r>
      <w:proofErr w:type="spellEnd"/>
      <w:r w:rsidRPr="00E350F1">
        <w:rPr>
          <w:rFonts w:cs="Arial"/>
        </w:rPr>
        <w:t xml:space="preserve">, J.D. </w:t>
      </w:r>
      <w:proofErr w:type="spellStart"/>
      <w:r w:rsidRPr="00E350F1">
        <w:rPr>
          <w:rFonts w:cs="Arial"/>
        </w:rPr>
        <w:t>Storey</w:t>
      </w:r>
      <w:proofErr w:type="spellEnd"/>
      <w:r w:rsidRPr="00E350F1">
        <w:rPr>
          <w:rFonts w:cs="Arial"/>
        </w:rPr>
        <w:t xml:space="preserve"> and V. </w:t>
      </w:r>
      <w:proofErr w:type="spellStart"/>
      <w:r w:rsidRPr="00E350F1">
        <w:rPr>
          <w:rFonts w:cs="Arial"/>
        </w:rPr>
        <w:t>Tusher</w:t>
      </w:r>
      <w:proofErr w:type="spellEnd"/>
      <w:r w:rsidRPr="00E350F1">
        <w:rPr>
          <w:rFonts w:cs="Arial"/>
        </w:rPr>
        <w:t>) (2001).</w:t>
      </w:r>
      <w:r w:rsidR="00E350F1" w:rsidRPr="00E350F1">
        <w:rPr>
          <w:rFonts w:cs="Arial"/>
        </w:rPr>
        <w:t xml:space="preserve"> </w:t>
      </w:r>
      <w:r w:rsidRPr="00E350F1">
        <w:rPr>
          <w:rFonts w:cs="Arial"/>
          <w:i/>
        </w:rPr>
        <w:t>JASA</w:t>
      </w:r>
      <w:r w:rsidRPr="00E350F1">
        <w:rPr>
          <w:rFonts w:cs="Arial"/>
        </w:rPr>
        <w:t xml:space="preserve"> </w:t>
      </w:r>
      <w:r w:rsidRPr="00302699">
        <w:rPr>
          <w:rFonts w:cs="Arial"/>
          <w:b/>
        </w:rPr>
        <w:t>96</w:t>
      </w:r>
      <w:r w:rsidRPr="00E350F1">
        <w:rPr>
          <w:rFonts w:cs="Arial"/>
        </w:rPr>
        <w:t>, 1151</w:t>
      </w:r>
      <w:r w:rsidR="0085355D" w:rsidRPr="00E350F1">
        <w:rPr>
          <w:rFonts w:cs="Arial"/>
        </w:rPr>
        <w:t>–</w:t>
      </w:r>
      <w:r w:rsidRPr="00E350F1">
        <w:rPr>
          <w:rFonts w:cs="Arial"/>
        </w:rPr>
        <w:t>1160.</w:t>
      </w:r>
    </w:p>
    <w:p w14:paraId="33BE1A0F" w14:textId="1FD804B0" w:rsidR="005B2B60" w:rsidRPr="004C493C" w:rsidRDefault="005B2B60" w:rsidP="004C493C">
      <w:pPr>
        <w:pStyle w:val="ListParagraph"/>
        <w:numPr>
          <w:ilvl w:val="1"/>
          <w:numId w:val="22"/>
        </w:numPr>
        <w:rPr>
          <w:rFonts w:cs="Arial"/>
        </w:rPr>
      </w:pPr>
      <w:r w:rsidRPr="004C493C">
        <w:rPr>
          <w:rFonts w:cs="Arial"/>
        </w:rPr>
        <w:t xml:space="preserve">Large-scale simultaneous hypothesis testing: The choice of a null hypothesis (2004). </w:t>
      </w:r>
      <w:r w:rsidRPr="00E350F1">
        <w:rPr>
          <w:rFonts w:cs="Arial"/>
          <w:i/>
        </w:rPr>
        <w:t>JASA</w:t>
      </w:r>
      <w:r w:rsidRPr="004C493C">
        <w:rPr>
          <w:rFonts w:cs="Arial"/>
        </w:rPr>
        <w:t xml:space="preserve"> </w:t>
      </w:r>
      <w:r w:rsidRPr="00302699">
        <w:rPr>
          <w:rFonts w:cs="Arial"/>
          <w:b/>
        </w:rPr>
        <w:t>99</w:t>
      </w:r>
      <w:r w:rsidRPr="004C493C">
        <w:rPr>
          <w:rFonts w:cs="Arial"/>
        </w:rPr>
        <w:t>, 96</w:t>
      </w:r>
      <w:r w:rsidR="0085355D">
        <w:rPr>
          <w:rFonts w:cs="Arial"/>
        </w:rPr>
        <w:t>–</w:t>
      </w:r>
      <w:r w:rsidRPr="004C493C">
        <w:rPr>
          <w:rFonts w:cs="Arial"/>
        </w:rPr>
        <w:t>104.</w:t>
      </w:r>
    </w:p>
    <w:p w14:paraId="1EFA8FC9" w14:textId="379EB385" w:rsidR="005B2B60" w:rsidRPr="00E350F1" w:rsidRDefault="009243FA" w:rsidP="0091451A">
      <w:pPr>
        <w:pStyle w:val="ListParagraph"/>
        <w:numPr>
          <w:ilvl w:val="1"/>
          <w:numId w:val="22"/>
        </w:numPr>
        <w:rPr>
          <w:rFonts w:cs="Arial"/>
        </w:rPr>
      </w:pPr>
      <w:r w:rsidRPr="00E350F1">
        <w:rPr>
          <w:rFonts w:cs="Arial"/>
        </w:rPr>
        <w:t xml:space="preserve">Are a set of microarrays independent of each other? (2009) </w:t>
      </w:r>
      <w:r w:rsidRPr="00E350F1">
        <w:rPr>
          <w:rFonts w:cs="Arial"/>
          <w:i/>
        </w:rPr>
        <w:t>Ann. Appl. Statist</w:t>
      </w:r>
      <w:r w:rsidRPr="00E350F1">
        <w:rPr>
          <w:rFonts w:cs="Arial"/>
        </w:rPr>
        <w:t xml:space="preserve">. </w:t>
      </w:r>
      <w:r w:rsidRPr="00302699">
        <w:rPr>
          <w:rFonts w:cs="Arial"/>
          <w:b/>
        </w:rPr>
        <w:t>3</w:t>
      </w:r>
      <w:r w:rsidRPr="00E350F1">
        <w:rPr>
          <w:rFonts w:cs="Arial"/>
        </w:rPr>
        <w:t>, 922</w:t>
      </w:r>
      <w:r w:rsidR="0085355D" w:rsidRPr="00E350F1">
        <w:rPr>
          <w:rFonts w:cs="Arial"/>
        </w:rPr>
        <w:t>–</w:t>
      </w:r>
      <w:r w:rsidRPr="00E350F1">
        <w:rPr>
          <w:rFonts w:cs="Arial"/>
        </w:rPr>
        <w:t>942. doi:10.1214/09-AOAS236</w:t>
      </w:r>
    </w:p>
    <w:p w14:paraId="0D6ADFCC" w14:textId="3F9CF0FA" w:rsidR="005B2B60" w:rsidRPr="00E350F1" w:rsidRDefault="009243FA" w:rsidP="001459E7">
      <w:pPr>
        <w:pStyle w:val="ListParagraph"/>
        <w:numPr>
          <w:ilvl w:val="1"/>
          <w:numId w:val="22"/>
        </w:numPr>
        <w:rPr>
          <w:rFonts w:cs="Arial"/>
        </w:rPr>
      </w:pPr>
      <w:r w:rsidRPr="00E350F1">
        <w:rPr>
          <w:rFonts w:cs="Arial"/>
        </w:rPr>
        <w:t xml:space="preserve">Correlated </w:t>
      </w:r>
      <w:r w:rsidRPr="00302699">
        <w:rPr>
          <w:rFonts w:cs="Arial"/>
          <w:i/>
        </w:rPr>
        <w:t>z</w:t>
      </w:r>
      <w:r w:rsidRPr="00E350F1">
        <w:rPr>
          <w:rFonts w:cs="Arial"/>
        </w:rPr>
        <w:t xml:space="preserve">-values and the accuracy of large-scale statistical estimates (2010). </w:t>
      </w:r>
      <w:r w:rsidRPr="00302699">
        <w:rPr>
          <w:rFonts w:cs="Arial"/>
          <w:i/>
        </w:rPr>
        <w:t>J</w:t>
      </w:r>
      <w:r w:rsidR="00302699" w:rsidRPr="00302699">
        <w:rPr>
          <w:rFonts w:cs="Arial"/>
          <w:i/>
        </w:rPr>
        <w:t>ASA</w:t>
      </w:r>
      <w:r w:rsidR="00E350F1" w:rsidRPr="00E350F1">
        <w:rPr>
          <w:rFonts w:cs="Arial"/>
        </w:rPr>
        <w:t xml:space="preserve"> </w:t>
      </w:r>
      <w:r w:rsidRPr="00302699">
        <w:rPr>
          <w:rFonts w:cs="Arial"/>
          <w:b/>
        </w:rPr>
        <w:t>105</w:t>
      </w:r>
      <w:r w:rsidRPr="00E350F1">
        <w:rPr>
          <w:rFonts w:cs="Arial"/>
        </w:rPr>
        <w:t>, 1042</w:t>
      </w:r>
      <w:r w:rsidR="0085355D" w:rsidRPr="00E350F1">
        <w:rPr>
          <w:rFonts w:cs="Arial"/>
        </w:rPr>
        <w:t>–</w:t>
      </w:r>
      <w:r w:rsidRPr="00E350F1">
        <w:rPr>
          <w:rFonts w:cs="Arial"/>
        </w:rPr>
        <w:t>1069 with discussion and Rejoinder. doi:10.1198/jasa.2010.tm09129</w:t>
      </w:r>
    </w:p>
    <w:p w14:paraId="58A41DDE" w14:textId="77777777" w:rsidR="005B2B60" w:rsidRPr="005B2B60" w:rsidRDefault="005B2B60" w:rsidP="005B2B60">
      <w:pPr>
        <w:rPr>
          <w:rFonts w:cs="Arial"/>
        </w:rPr>
      </w:pPr>
    </w:p>
    <w:p w14:paraId="74D447A5" w14:textId="5E30A9A5" w:rsidR="005B2B60" w:rsidRPr="00602D0E" w:rsidRDefault="005B2B60" w:rsidP="0042016F">
      <w:pPr>
        <w:pStyle w:val="ListParagraph"/>
        <w:numPr>
          <w:ilvl w:val="0"/>
          <w:numId w:val="22"/>
        </w:numPr>
        <w:rPr>
          <w:rFonts w:cs="Arial"/>
        </w:rPr>
      </w:pPr>
      <w:r w:rsidRPr="00602D0E">
        <w:rPr>
          <w:rFonts w:cs="Arial"/>
        </w:rPr>
        <w:t>EMPIRICAL BAYES ESTIMATION AND TESTING. Data sets consisting of a large number of small parallel problems, for instance the simultaneous testing of significance of genes in a microarray study, are amenable to empirical Bayes analysis; that is, one can approximate Bayesian results for any one problem using the data from all the “other” problems. This theory emerged in the 1950s in the work of C. Stein and also of H. Robbins. I have tried to put the theory into practical form for modern application, as well as understanding its basis in classical Bayesian and frequentist philosophy.</w:t>
      </w:r>
    </w:p>
    <w:p w14:paraId="25C023FD" w14:textId="7B5A3CA3" w:rsidR="009243FA" w:rsidRPr="0085355D" w:rsidRDefault="009243FA" w:rsidP="002377F0">
      <w:pPr>
        <w:pStyle w:val="ListParagraph"/>
        <w:numPr>
          <w:ilvl w:val="1"/>
          <w:numId w:val="22"/>
        </w:numPr>
        <w:rPr>
          <w:rFonts w:cs="Arial"/>
        </w:rPr>
      </w:pPr>
      <w:r w:rsidRPr="0085355D">
        <w:rPr>
          <w:rFonts w:cs="Arial"/>
        </w:rPr>
        <w:t xml:space="preserve">Stein's estimation rule and its competitors </w:t>
      </w:r>
      <w:r w:rsidR="0085355D" w:rsidRPr="0085355D">
        <w:rPr>
          <w:rFonts w:cs="Arial"/>
        </w:rPr>
        <w:t>–</w:t>
      </w:r>
      <w:r w:rsidRPr="0085355D">
        <w:rPr>
          <w:rFonts w:cs="Arial"/>
        </w:rPr>
        <w:t xml:space="preserve"> An empirical Bayes approach (with C. Morris) (1973). </w:t>
      </w:r>
      <w:r w:rsidRPr="0085355D">
        <w:rPr>
          <w:rFonts w:cs="Arial"/>
          <w:i/>
        </w:rPr>
        <w:t>JASA</w:t>
      </w:r>
      <w:r w:rsidR="0085355D" w:rsidRPr="0085355D">
        <w:rPr>
          <w:rFonts w:cs="Arial"/>
        </w:rPr>
        <w:t xml:space="preserve"> </w:t>
      </w:r>
      <w:r w:rsidRPr="0085355D">
        <w:rPr>
          <w:rFonts w:cs="Arial"/>
          <w:b/>
        </w:rPr>
        <w:t>68</w:t>
      </w:r>
      <w:r w:rsidRPr="0085355D">
        <w:rPr>
          <w:rFonts w:cs="Arial"/>
        </w:rPr>
        <w:t>, 117</w:t>
      </w:r>
      <w:r w:rsidR="0085355D" w:rsidRPr="0085355D">
        <w:rPr>
          <w:rFonts w:cs="Arial"/>
        </w:rPr>
        <w:t>–</w:t>
      </w:r>
      <w:r w:rsidRPr="0085355D">
        <w:rPr>
          <w:rFonts w:cs="Arial"/>
        </w:rPr>
        <w:t>130.</w:t>
      </w:r>
    </w:p>
    <w:p w14:paraId="57317A86" w14:textId="17419C17" w:rsidR="009243FA" w:rsidRPr="0085355D" w:rsidRDefault="009243FA" w:rsidP="00A871A7">
      <w:pPr>
        <w:pStyle w:val="ListParagraph"/>
        <w:numPr>
          <w:ilvl w:val="1"/>
          <w:numId w:val="22"/>
        </w:numPr>
        <w:rPr>
          <w:rFonts w:cs="Arial"/>
        </w:rPr>
      </w:pPr>
      <w:r w:rsidRPr="0085355D">
        <w:rPr>
          <w:rFonts w:cs="Arial"/>
        </w:rPr>
        <w:t xml:space="preserve">Estimating the number of unseen species: How many words did Shakespeare know? (with R. </w:t>
      </w:r>
      <w:proofErr w:type="spellStart"/>
      <w:r w:rsidRPr="0085355D">
        <w:rPr>
          <w:rFonts w:cs="Arial"/>
        </w:rPr>
        <w:t>Thisted</w:t>
      </w:r>
      <w:proofErr w:type="spellEnd"/>
      <w:r w:rsidRPr="0085355D">
        <w:rPr>
          <w:rFonts w:cs="Arial"/>
        </w:rPr>
        <w:t>) (1976).</w:t>
      </w:r>
      <w:r w:rsidR="0085355D" w:rsidRPr="0085355D">
        <w:rPr>
          <w:rFonts w:cs="Arial"/>
        </w:rPr>
        <w:t xml:space="preserve"> </w:t>
      </w:r>
      <w:proofErr w:type="spellStart"/>
      <w:r w:rsidRPr="0085355D">
        <w:rPr>
          <w:rFonts w:cs="Arial"/>
          <w:i/>
        </w:rPr>
        <w:t>Biometrika</w:t>
      </w:r>
      <w:proofErr w:type="spellEnd"/>
      <w:r w:rsidRPr="0085355D">
        <w:rPr>
          <w:rFonts w:cs="Arial"/>
        </w:rPr>
        <w:t xml:space="preserve"> </w:t>
      </w:r>
      <w:r w:rsidRPr="0085355D">
        <w:rPr>
          <w:rFonts w:cs="Arial"/>
          <w:b/>
        </w:rPr>
        <w:t>63</w:t>
      </w:r>
      <w:r w:rsidRPr="0085355D">
        <w:rPr>
          <w:rFonts w:cs="Arial"/>
        </w:rPr>
        <w:t>, 435</w:t>
      </w:r>
      <w:r w:rsidR="0085355D" w:rsidRPr="0085355D">
        <w:rPr>
          <w:rFonts w:cs="Arial"/>
        </w:rPr>
        <w:t>–</w:t>
      </w:r>
      <w:r w:rsidRPr="0085355D">
        <w:rPr>
          <w:rFonts w:cs="Arial"/>
        </w:rPr>
        <w:t>447.</w:t>
      </w:r>
    </w:p>
    <w:p w14:paraId="203649D0" w14:textId="636265FB" w:rsidR="009243FA" w:rsidRPr="0085355D" w:rsidRDefault="009243FA" w:rsidP="009E002E">
      <w:pPr>
        <w:pStyle w:val="ListParagraph"/>
        <w:numPr>
          <w:ilvl w:val="1"/>
          <w:numId w:val="22"/>
        </w:numPr>
        <w:rPr>
          <w:rFonts w:cs="Arial"/>
        </w:rPr>
      </w:pPr>
      <w:r w:rsidRPr="0085355D">
        <w:rPr>
          <w:rFonts w:cs="Arial"/>
          <w:i/>
        </w:rPr>
        <w:t>Large-Scale Inference: Empirical Bayes Methods for Estimation, Testing, and Prediction</w:t>
      </w:r>
      <w:r w:rsidRPr="0085355D">
        <w:rPr>
          <w:rFonts w:cs="Arial"/>
        </w:rPr>
        <w:t xml:space="preserve"> (2010). Institute of</w:t>
      </w:r>
      <w:r w:rsidR="0085355D" w:rsidRPr="0085355D">
        <w:rPr>
          <w:rFonts w:cs="Arial"/>
        </w:rPr>
        <w:t xml:space="preserve"> </w:t>
      </w:r>
      <w:r w:rsidRPr="0085355D">
        <w:rPr>
          <w:rFonts w:cs="Arial"/>
        </w:rPr>
        <w:t xml:space="preserve">Mathematical Statistics Monographs </w:t>
      </w:r>
      <w:r w:rsidRPr="0085355D">
        <w:rPr>
          <w:rFonts w:cs="Arial"/>
          <w:b/>
        </w:rPr>
        <w:t>I</w:t>
      </w:r>
      <w:r w:rsidRPr="0085355D">
        <w:rPr>
          <w:rFonts w:cs="Arial"/>
        </w:rPr>
        <w:t>, Cambridge University Press, Cambridge.</w:t>
      </w:r>
    </w:p>
    <w:p w14:paraId="5DBA6FF3" w14:textId="004D3D9D" w:rsidR="009243FA" w:rsidRPr="0085355D" w:rsidRDefault="009243FA" w:rsidP="008E2212">
      <w:pPr>
        <w:pStyle w:val="ListParagraph"/>
        <w:numPr>
          <w:ilvl w:val="1"/>
          <w:numId w:val="22"/>
        </w:numPr>
        <w:rPr>
          <w:rFonts w:cs="Arial"/>
        </w:rPr>
      </w:pPr>
      <w:r w:rsidRPr="0085355D">
        <w:rPr>
          <w:rFonts w:cs="Arial"/>
        </w:rPr>
        <w:t xml:space="preserve">Two modeling strategies for empirical Bayes estimation (2014). </w:t>
      </w:r>
      <w:r w:rsidRPr="0085355D">
        <w:rPr>
          <w:rFonts w:cs="Arial"/>
          <w:i/>
        </w:rPr>
        <w:t>Statist. Sci</w:t>
      </w:r>
      <w:r w:rsidRPr="0085355D">
        <w:rPr>
          <w:rFonts w:cs="Arial"/>
        </w:rPr>
        <w:t xml:space="preserve">. </w:t>
      </w:r>
      <w:r w:rsidRPr="0085355D">
        <w:rPr>
          <w:rFonts w:cs="Arial"/>
          <w:b/>
        </w:rPr>
        <w:t>29</w:t>
      </w:r>
      <w:r w:rsidRPr="0085355D">
        <w:rPr>
          <w:rFonts w:cs="Arial"/>
        </w:rPr>
        <w:t>, 285</w:t>
      </w:r>
      <w:r w:rsidR="0085355D" w:rsidRPr="0085355D">
        <w:rPr>
          <w:rFonts w:cs="Arial"/>
        </w:rPr>
        <w:t>–</w:t>
      </w:r>
      <w:r w:rsidRPr="0085355D">
        <w:rPr>
          <w:rFonts w:cs="Arial"/>
        </w:rPr>
        <w:t>301. doi:10.1214/13-STS455</w:t>
      </w:r>
    </w:p>
    <w:p w14:paraId="5465B0BE" w14:textId="4B0D556D" w:rsidR="009243FA" w:rsidRPr="004C493C" w:rsidRDefault="009243FA" w:rsidP="004C493C">
      <w:pPr>
        <w:pStyle w:val="ListParagraph"/>
        <w:numPr>
          <w:ilvl w:val="1"/>
          <w:numId w:val="22"/>
        </w:numPr>
        <w:rPr>
          <w:rFonts w:cs="Arial"/>
        </w:rPr>
      </w:pPr>
      <w:r w:rsidRPr="004C493C">
        <w:rPr>
          <w:rFonts w:cs="Arial"/>
        </w:rPr>
        <w:lastRenderedPageBreak/>
        <w:t xml:space="preserve">Empirical Bayes deconvolution estimates (2016). </w:t>
      </w:r>
      <w:proofErr w:type="spellStart"/>
      <w:r w:rsidRPr="0085355D">
        <w:rPr>
          <w:rFonts w:cs="Arial"/>
          <w:i/>
        </w:rPr>
        <w:t>Biometrika</w:t>
      </w:r>
      <w:proofErr w:type="spellEnd"/>
      <w:r w:rsidRPr="004C493C">
        <w:rPr>
          <w:rFonts w:cs="Arial"/>
        </w:rPr>
        <w:t xml:space="preserve"> </w:t>
      </w:r>
      <w:r w:rsidRPr="0085355D">
        <w:rPr>
          <w:rFonts w:cs="Arial"/>
          <w:b/>
        </w:rPr>
        <w:t>103</w:t>
      </w:r>
      <w:r w:rsidRPr="004C493C">
        <w:rPr>
          <w:rFonts w:cs="Arial"/>
        </w:rPr>
        <w:t>, 1</w:t>
      </w:r>
      <w:r w:rsidR="0085355D">
        <w:rPr>
          <w:rFonts w:cs="Arial"/>
        </w:rPr>
        <w:t>–</w:t>
      </w:r>
      <w:r w:rsidRPr="004C493C">
        <w:rPr>
          <w:rFonts w:cs="Arial"/>
        </w:rPr>
        <w:t>20. doi:10.1093/</w:t>
      </w:r>
      <w:proofErr w:type="spellStart"/>
      <w:r w:rsidRPr="004C493C">
        <w:rPr>
          <w:rFonts w:cs="Arial"/>
        </w:rPr>
        <w:t>biomet</w:t>
      </w:r>
      <w:proofErr w:type="spellEnd"/>
      <w:r w:rsidRPr="004C493C">
        <w:rPr>
          <w:rFonts w:cs="Arial"/>
        </w:rPr>
        <w:t>/asv068</w:t>
      </w:r>
    </w:p>
    <w:p w14:paraId="0ECD829A" w14:textId="77777777" w:rsidR="005B2B60" w:rsidRPr="005B2B60" w:rsidRDefault="005B2B60" w:rsidP="005B2B60">
      <w:pPr>
        <w:rPr>
          <w:rFonts w:cs="Arial"/>
        </w:rPr>
      </w:pPr>
    </w:p>
    <w:p w14:paraId="31823CB4" w14:textId="466BDE7D" w:rsidR="005B2B60" w:rsidRPr="00602D0E" w:rsidRDefault="005B2B60" w:rsidP="00CF731B">
      <w:pPr>
        <w:pStyle w:val="ListParagraph"/>
        <w:numPr>
          <w:ilvl w:val="0"/>
          <w:numId w:val="22"/>
        </w:numPr>
        <w:rPr>
          <w:rFonts w:cs="Arial"/>
        </w:rPr>
      </w:pPr>
      <w:r w:rsidRPr="00602D0E">
        <w:rPr>
          <w:rFonts w:cs="Arial"/>
        </w:rPr>
        <w:t>ERROR RATES FOR PREDICTION ALGORITHMS. Given a training set of covariate vectors and their associated responses, a prediction rule is constructed; having observed a new covariate vector, the rule predicts what the response might be. How accurate are the rule's predictions? Two main theories have been put forward, cross-validation and “</w:t>
      </w:r>
      <w:proofErr w:type="spellStart"/>
      <w:r w:rsidRPr="00602D0E">
        <w:rPr>
          <w:rFonts w:cs="Arial"/>
        </w:rPr>
        <w:t>Cp</w:t>
      </w:r>
      <w:proofErr w:type="spellEnd"/>
      <w:r w:rsidRPr="00602D0E">
        <w:rPr>
          <w:rFonts w:cs="Arial"/>
        </w:rPr>
        <w:t>” estimates. I have pursued the theory and application of both methods, and their relationship, in a series of papers.</w:t>
      </w:r>
    </w:p>
    <w:p w14:paraId="5EF12EC1" w14:textId="22A15C90" w:rsidR="009243FA" w:rsidRPr="00F76DF4" w:rsidRDefault="009243FA" w:rsidP="00F76DF4">
      <w:pPr>
        <w:pStyle w:val="ListParagraph"/>
        <w:numPr>
          <w:ilvl w:val="1"/>
          <w:numId w:val="22"/>
        </w:numPr>
        <w:rPr>
          <w:rFonts w:cs="Arial"/>
        </w:rPr>
      </w:pPr>
      <w:r w:rsidRPr="00F76DF4">
        <w:rPr>
          <w:rFonts w:cs="Arial"/>
        </w:rPr>
        <w:t xml:space="preserve">Estimating the error rate of a prediction rule: Improvement on cross-validation (1983). </w:t>
      </w:r>
      <w:r w:rsidRPr="0085355D">
        <w:rPr>
          <w:rFonts w:cs="Arial"/>
          <w:i/>
        </w:rPr>
        <w:t>JASA</w:t>
      </w:r>
      <w:r w:rsidRPr="00F76DF4">
        <w:rPr>
          <w:rFonts w:cs="Arial"/>
        </w:rPr>
        <w:t xml:space="preserve"> 78, 316</w:t>
      </w:r>
      <w:r w:rsidR="0085355D">
        <w:rPr>
          <w:rFonts w:cs="Arial"/>
        </w:rPr>
        <w:t>–</w:t>
      </w:r>
      <w:r w:rsidRPr="00F76DF4">
        <w:rPr>
          <w:rFonts w:cs="Arial"/>
        </w:rPr>
        <w:t>331.</w:t>
      </w:r>
    </w:p>
    <w:p w14:paraId="1C41EB09" w14:textId="7D1DA580" w:rsidR="009243FA" w:rsidRPr="00F76DF4" w:rsidRDefault="009243FA" w:rsidP="00F76DF4">
      <w:pPr>
        <w:pStyle w:val="ListParagraph"/>
        <w:numPr>
          <w:ilvl w:val="1"/>
          <w:numId w:val="22"/>
        </w:numPr>
        <w:rPr>
          <w:rFonts w:cs="Arial"/>
        </w:rPr>
      </w:pPr>
      <w:r w:rsidRPr="00F76DF4">
        <w:rPr>
          <w:rFonts w:cs="Arial"/>
        </w:rPr>
        <w:t xml:space="preserve">How biased is the apparent error rate of a prediction rule? (1986). </w:t>
      </w:r>
      <w:r w:rsidRPr="0085355D">
        <w:rPr>
          <w:rFonts w:cs="Arial"/>
          <w:i/>
        </w:rPr>
        <w:t>JASA</w:t>
      </w:r>
      <w:r w:rsidRPr="00F76DF4">
        <w:rPr>
          <w:rFonts w:cs="Arial"/>
        </w:rPr>
        <w:t xml:space="preserve"> </w:t>
      </w:r>
      <w:r w:rsidRPr="0085355D">
        <w:rPr>
          <w:rFonts w:cs="Arial"/>
          <w:b/>
        </w:rPr>
        <w:t>81</w:t>
      </w:r>
      <w:r w:rsidRPr="00F76DF4">
        <w:rPr>
          <w:rFonts w:cs="Arial"/>
        </w:rPr>
        <w:t>, 461</w:t>
      </w:r>
      <w:r w:rsidR="0085355D">
        <w:rPr>
          <w:rFonts w:cs="Arial"/>
        </w:rPr>
        <w:t>–</w:t>
      </w:r>
      <w:r w:rsidRPr="00F76DF4">
        <w:rPr>
          <w:rFonts w:cs="Arial"/>
        </w:rPr>
        <w:t>470.</w:t>
      </w:r>
    </w:p>
    <w:p w14:paraId="27E27317" w14:textId="2FF0B856" w:rsidR="009243FA" w:rsidRPr="0085355D" w:rsidRDefault="009243FA" w:rsidP="00D306F9">
      <w:pPr>
        <w:pStyle w:val="ListParagraph"/>
        <w:numPr>
          <w:ilvl w:val="1"/>
          <w:numId w:val="22"/>
        </w:numPr>
        <w:rPr>
          <w:rFonts w:cs="Arial"/>
        </w:rPr>
      </w:pPr>
      <w:r w:rsidRPr="0085355D">
        <w:rPr>
          <w:rFonts w:cs="Arial"/>
        </w:rPr>
        <w:t xml:space="preserve">Improvements on cross-validation: </w:t>
      </w:r>
      <w:proofErr w:type="gramStart"/>
      <w:r w:rsidRPr="0085355D">
        <w:rPr>
          <w:rFonts w:cs="Arial"/>
        </w:rPr>
        <w:t>The :632</w:t>
      </w:r>
      <w:proofErr w:type="gramEnd"/>
      <w:r w:rsidRPr="0085355D">
        <w:rPr>
          <w:rFonts w:cs="Arial"/>
        </w:rPr>
        <w:t xml:space="preserve">+ bootstrap method (with R. </w:t>
      </w:r>
      <w:proofErr w:type="spellStart"/>
      <w:r w:rsidRPr="0085355D">
        <w:rPr>
          <w:rFonts w:cs="Arial"/>
        </w:rPr>
        <w:t>Tibshirani</w:t>
      </w:r>
      <w:proofErr w:type="spellEnd"/>
      <w:r w:rsidRPr="0085355D">
        <w:rPr>
          <w:rFonts w:cs="Arial"/>
        </w:rPr>
        <w:t xml:space="preserve">) (1997). </w:t>
      </w:r>
      <w:r w:rsidRPr="0085355D">
        <w:rPr>
          <w:rFonts w:cs="Arial"/>
          <w:i/>
        </w:rPr>
        <w:t>JASA</w:t>
      </w:r>
      <w:r w:rsidRPr="0085355D">
        <w:rPr>
          <w:rFonts w:cs="Arial"/>
        </w:rPr>
        <w:t xml:space="preserve"> </w:t>
      </w:r>
      <w:r w:rsidRPr="0085355D">
        <w:rPr>
          <w:rFonts w:cs="Arial"/>
          <w:b/>
        </w:rPr>
        <w:t>92</w:t>
      </w:r>
      <w:r w:rsidRPr="0085355D">
        <w:rPr>
          <w:rFonts w:cs="Arial"/>
        </w:rPr>
        <w:t>,</w:t>
      </w:r>
      <w:r w:rsidR="0085355D" w:rsidRPr="0085355D">
        <w:rPr>
          <w:rFonts w:cs="Arial"/>
        </w:rPr>
        <w:t xml:space="preserve"> </w:t>
      </w:r>
      <w:r w:rsidRPr="0085355D">
        <w:rPr>
          <w:rFonts w:cs="Arial"/>
        </w:rPr>
        <w:t>548</w:t>
      </w:r>
      <w:r w:rsidR="0085355D" w:rsidRPr="0085355D">
        <w:rPr>
          <w:rFonts w:cs="Arial"/>
        </w:rPr>
        <w:t>–</w:t>
      </w:r>
      <w:r w:rsidRPr="0085355D">
        <w:rPr>
          <w:rFonts w:cs="Arial"/>
        </w:rPr>
        <w:t>560.</w:t>
      </w:r>
    </w:p>
    <w:p w14:paraId="35660363" w14:textId="7F99FD4D" w:rsidR="009243FA" w:rsidRPr="0085355D" w:rsidRDefault="009243FA" w:rsidP="00F7650D">
      <w:pPr>
        <w:pStyle w:val="ListParagraph"/>
        <w:numPr>
          <w:ilvl w:val="1"/>
          <w:numId w:val="22"/>
        </w:numPr>
        <w:rPr>
          <w:rFonts w:cs="Arial"/>
        </w:rPr>
      </w:pPr>
      <w:r w:rsidRPr="0085355D">
        <w:rPr>
          <w:rFonts w:cs="Arial"/>
        </w:rPr>
        <w:t xml:space="preserve">Least angle regression (with T. Hastie, I. Johnstone and R. </w:t>
      </w:r>
      <w:proofErr w:type="spellStart"/>
      <w:r w:rsidRPr="0085355D">
        <w:rPr>
          <w:rFonts w:cs="Arial"/>
        </w:rPr>
        <w:t>Tibshirani</w:t>
      </w:r>
      <w:proofErr w:type="spellEnd"/>
      <w:r w:rsidRPr="0085355D">
        <w:rPr>
          <w:rFonts w:cs="Arial"/>
        </w:rPr>
        <w:t xml:space="preserve">) (2004). </w:t>
      </w:r>
      <w:r w:rsidRPr="0085355D">
        <w:rPr>
          <w:rFonts w:cs="Arial"/>
          <w:i/>
        </w:rPr>
        <w:t>Ann. Statist</w:t>
      </w:r>
      <w:r w:rsidRPr="0085355D">
        <w:rPr>
          <w:rFonts w:cs="Arial"/>
        </w:rPr>
        <w:t xml:space="preserve">. </w:t>
      </w:r>
      <w:r w:rsidRPr="0085355D">
        <w:rPr>
          <w:rFonts w:cs="Arial"/>
          <w:b/>
        </w:rPr>
        <w:t>32</w:t>
      </w:r>
      <w:r w:rsidRPr="0085355D">
        <w:rPr>
          <w:rFonts w:cs="Arial"/>
        </w:rPr>
        <w:t>, 407</w:t>
      </w:r>
      <w:r w:rsidR="0085355D" w:rsidRPr="0085355D">
        <w:rPr>
          <w:rFonts w:cs="Arial"/>
        </w:rPr>
        <w:t>–</w:t>
      </w:r>
      <w:r w:rsidRPr="0085355D">
        <w:rPr>
          <w:rFonts w:cs="Arial"/>
        </w:rPr>
        <w:t>499</w:t>
      </w:r>
      <w:r w:rsidR="0085355D" w:rsidRPr="0085355D">
        <w:rPr>
          <w:rFonts w:cs="Arial"/>
        </w:rPr>
        <w:t xml:space="preserve"> </w:t>
      </w:r>
      <w:r w:rsidRPr="0085355D">
        <w:rPr>
          <w:rFonts w:cs="Arial"/>
        </w:rPr>
        <w:t>with discussion and Rejoinder. doi:10.1214/009053604000000067</w:t>
      </w:r>
    </w:p>
    <w:p w14:paraId="259CB220" w14:textId="60D5A287" w:rsidR="009243FA" w:rsidRPr="0085355D" w:rsidRDefault="009243FA" w:rsidP="004E3848">
      <w:pPr>
        <w:pStyle w:val="ListParagraph"/>
        <w:numPr>
          <w:ilvl w:val="1"/>
          <w:numId w:val="22"/>
        </w:numPr>
        <w:rPr>
          <w:rFonts w:cs="Arial"/>
        </w:rPr>
      </w:pPr>
      <w:r w:rsidRPr="0085355D">
        <w:rPr>
          <w:rFonts w:cs="Arial"/>
        </w:rPr>
        <w:t xml:space="preserve">The estimation of prediction error: Covariance penalties and cross-validation (2004). </w:t>
      </w:r>
      <w:r w:rsidRPr="0085355D">
        <w:rPr>
          <w:rFonts w:cs="Arial"/>
          <w:i/>
        </w:rPr>
        <w:t>JASA</w:t>
      </w:r>
      <w:r w:rsidRPr="0085355D">
        <w:rPr>
          <w:rFonts w:cs="Arial"/>
        </w:rPr>
        <w:t xml:space="preserve"> </w:t>
      </w:r>
      <w:r w:rsidRPr="0085355D">
        <w:rPr>
          <w:rFonts w:cs="Arial"/>
          <w:b/>
        </w:rPr>
        <w:t>99</w:t>
      </w:r>
      <w:r w:rsidRPr="0085355D">
        <w:rPr>
          <w:rFonts w:cs="Arial"/>
        </w:rPr>
        <w:t>, 619</w:t>
      </w:r>
      <w:r w:rsidR="0085355D" w:rsidRPr="0085355D">
        <w:rPr>
          <w:rFonts w:cs="Arial"/>
        </w:rPr>
        <w:t>–</w:t>
      </w:r>
      <w:r w:rsidRPr="0085355D">
        <w:rPr>
          <w:rFonts w:cs="Arial"/>
        </w:rPr>
        <w:t>642</w:t>
      </w:r>
      <w:r w:rsidR="0085355D" w:rsidRPr="0085355D">
        <w:rPr>
          <w:rFonts w:cs="Arial"/>
        </w:rPr>
        <w:t xml:space="preserve"> </w:t>
      </w:r>
      <w:r w:rsidRPr="0085355D">
        <w:rPr>
          <w:rFonts w:cs="Arial"/>
        </w:rPr>
        <w:t>with discussion.</w:t>
      </w:r>
    </w:p>
    <w:p w14:paraId="6C5F8D18" w14:textId="77777777" w:rsidR="005B2B60" w:rsidRPr="005B2B60" w:rsidRDefault="005B2B60" w:rsidP="005B2B60">
      <w:pPr>
        <w:rPr>
          <w:rFonts w:cs="Arial"/>
        </w:rPr>
      </w:pPr>
    </w:p>
    <w:p w14:paraId="06819C49" w14:textId="29A5E2AF" w:rsidR="005B2B60" w:rsidRPr="00602D0E" w:rsidRDefault="005B2B60" w:rsidP="007C46F0">
      <w:pPr>
        <w:pStyle w:val="ListParagraph"/>
        <w:numPr>
          <w:ilvl w:val="0"/>
          <w:numId w:val="22"/>
        </w:numPr>
        <w:rPr>
          <w:rFonts w:cs="Arial"/>
        </w:rPr>
      </w:pPr>
      <w:r w:rsidRPr="00602D0E">
        <w:rPr>
          <w:rFonts w:cs="Arial"/>
        </w:rPr>
        <w:t>BAYESIAN AND FREQUENTIST INFERENCE. There are two main statistical philosophies, Bayes and frequentist, often in tension with each other in applied practice. Understanding their strengths, weaknesses, and relationship has taken on new importance in our era of large-scale inference. I have written a series of papers investigating how the philosophies play out in the real world.</w:t>
      </w:r>
    </w:p>
    <w:p w14:paraId="119B1BAE" w14:textId="66631970" w:rsidR="005B2B60" w:rsidRPr="00F76DF4" w:rsidRDefault="009243FA" w:rsidP="00F76DF4">
      <w:pPr>
        <w:pStyle w:val="ListParagraph"/>
        <w:numPr>
          <w:ilvl w:val="1"/>
          <w:numId w:val="22"/>
        </w:numPr>
        <w:rPr>
          <w:rFonts w:cs="Arial"/>
        </w:rPr>
      </w:pPr>
      <w:r w:rsidRPr="00F76DF4">
        <w:rPr>
          <w:rFonts w:cs="Arial"/>
        </w:rPr>
        <w:t xml:space="preserve">Why isn't everyone a Bayesian? (1986). </w:t>
      </w:r>
      <w:r w:rsidRPr="0085355D">
        <w:rPr>
          <w:rFonts w:cs="Arial"/>
          <w:i/>
        </w:rPr>
        <w:t>Amer. Statist</w:t>
      </w:r>
      <w:r w:rsidRPr="00F76DF4">
        <w:rPr>
          <w:rFonts w:cs="Arial"/>
        </w:rPr>
        <w:t xml:space="preserve">. </w:t>
      </w:r>
      <w:r w:rsidRPr="0085355D">
        <w:rPr>
          <w:rFonts w:cs="Arial"/>
          <w:b/>
        </w:rPr>
        <w:t>40</w:t>
      </w:r>
      <w:r w:rsidRPr="00F76DF4">
        <w:rPr>
          <w:rFonts w:cs="Arial"/>
        </w:rPr>
        <w:t>, 1</w:t>
      </w:r>
      <w:r w:rsidR="0085355D">
        <w:rPr>
          <w:rFonts w:cs="Arial"/>
        </w:rPr>
        <w:t>–</w:t>
      </w:r>
      <w:r w:rsidRPr="00F76DF4">
        <w:rPr>
          <w:rFonts w:cs="Arial"/>
        </w:rPr>
        <w:t>11.</w:t>
      </w:r>
    </w:p>
    <w:p w14:paraId="6F9CEC76" w14:textId="125683A3" w:rsidR="009243FA" w:rsidRPr="00F76DF4" w:rsidRDefault="009243FA" w:rsidP="00F76DF4">
      <w:pPr>
        <w:pStyle w:val="ListParagraph"/>
        <w:numPr>
          <w:ilvl w:val="1"/>
          <w:numId w:val="22"/>
        </w:numPr>
        <w:rPr>
          <w:rFonts w:cs="Arial"/>
        </w:rPr>
      </w:pPr>
      <w:r w:rsidRPr="00F76DF4">
        <w:rPr>
          <w:rFonts w:cs="Arial"/>
        </w:rPr>
        <w:t xml:space="preserve">Statistical data analysis in the computer age (with R. </w:t>
      </w:r>
      <w:proofErr w:type="spellStart"/>
      <w:r w:rsidRPr="00F76DF4">
        <w:rPr>
          <w:rFonts w:cs="Arial"/>
        </w:rPr>
        <w:t>Tibshirani</w:t>
      </w:r>
      <w:proofErr w:type="spellEnd"/>
      <w:r w:rsidRPr="00F76DF4">
        <w:rPr>
          <w:rFonts w:cs="Arial"/>
        </w:rPr>
        <w:t xml:space="preserve">) (1991). </w:t>
      </w:r>
      <w:r w:rsidRPr="0085355D">
        <w:rPr>
          <w:rFonts w:cs="Arial"/>
          <w:i/>
        </w:rPr>
        <w:t>SCIENCE</w:t>
      </w:r>
      <w:r w:rsidRPr="00F76DF4">
        <w:rPr>
          <w:rFonts w:cs="Arial"/>
        </w:rPr>
        <w:t xml:space="preserve"> </w:t>
      </w:r>
      <w:r w:rsidRPr="0085355D">
        <w:rPr>
          <w:rFonts w:cs="Arial"/>
          <w:b/>
        </w:rPr>
        <w:t>253</w:t>
      </w:r>
      <w:r w:rsidRPr="00F76DF4">
        <w:rPr>
          <w:rFonts w:cs="Arial"/>
        </w:rPr>
        <w:t>, 390</w:t>
      </w:r>
      <w:r w:rsidR="0085355D">
        <w:rPr>
          <w:rFonts w:cs="Arial"/>
        </w:rPr>
        <w:t>–</w:t>
      </w:r>
      <w:r w:rsidRPr="00F76DF4">
        <w:rPr>
          <w:rFonts w:cs="Arial"/>
        </w:rPr>
        <w:t>395.</w:t>
      </w:r>
    </w:p>
    <w:p w14:paraId="72286705" w14:textId="7C21C8CF" w:rsidR="009243FA" w:rsidRPr="00F76DF4" w:rsidRDefault="009243FA" w:rsidP="00F76DF4">
      <w:pPr>
        <w:pStyle w:val="ListParagraph"/>
        <w:numPr>
          <w:ilvl w:val="1"/>
          <w:numId w:val="22"/>
        </w:numPr>
        <w:rPr>
          <w:rFonts w:cs="Arial"/>
        </w:rPr>
      </w:pPr>
      <w:r w:rsidRPr="00F76DF4">
        <w:rPr>
          <w:rFonts w:cs="Arial"/>
        </w:rPr>
        <w:t xml:space="preserve">R.A. Fisher in the 21st century (1998). </w:t>
      </w:r>
      <w:r w:rsidRPr="0085355D">
        <w:rPr>
          <w:rFonts w:cs="Arial"/>
          <w:i/>
        </w:rPr>
        <w:t>Statist. Sci</w:t>
      </w:r>
      <w:r w:rsidRPr="00F76DF4">
        <w:rPr>
          <w:rFonts w:cs="Arial"/>
        </w:rPr>
        <w:t xml:space="preserve">. </w:t>
      </w:r>
      <w:r w:rsidRPr="0085355D">
        <w:rPr>
          <w:rFonts w:cs="Arial"/>
          <w:b/>
        </w:rPr>
        <w:t>13</w:t>
      </w:r>
      <w:r w:rsidRPr="00F76DF4">
        <w:rPr>
          <w:rFonts w:cs="Arial"/>
        </w:rPr>
        <w:t>, 95</w:t>
      </w:r>
      <w:r w:rsidR="0085355D">
        <w:rPr>
          <w:rFonts w:cs="Arial"/>
        </w:rPr>
        <w:t>–</w:t>
      </w:r>
      <w:r w:rsidRPr="00F76DF4">
        <w:rPr>
          <w:rFonts w:cs="Arial"/>
        </w:rPr>
        <w:t>122 with discussion and Rejoinder.</w:t>
      </w:r>
    </w:p>
    <w:p w14:paraId="13052A46" w14:textId="20C9E865" w:rsidR="009243FA" w:rsidRPr="00F76DF4" w:rsidRDefault="009243FA" w:rsidP="00F76DF4">
      <w:pPr>
        <w:pStyle w:val="ListParagraph"/>
        <w:numPr>
          <w:ilvl w:val="1"/>
          <w:numId w:val="22"/>
        </w:numPr>
        <w:rPr>
          <w:rFonts w:cs="Arial"/>
        </w:rPr>
      </w:pPr>
      <w:r w:rsidRPr="00F76DF4">
        <w:rPr>
          <w:rFonts w:cs="Arial"/>
        </w:rPr>
        <w:t xml:space="preserve">Bayesians, frequentists, and physicists (2003). </w:t>
      </w:r>
      <w:r w:rsidRPr="0085355D">
        <w:rPr>
          <w:rFonts w:cs="Arial"/>
          <w:i/>
        </w:rPr>
        <w:t>Proc. PHYSTAT2003</w:t>
      </w:r>
      <w:r w:rsidRPr="00F76DF4">
        <w:rPr>
          <w:rFonts w:cs="Arial"/>
        </w:rPr>
        <w:t>, 17</w:t>
      </w:r>
      <w:r w:rsidR="0085355D">
        <w:rPr>
          <w:rFonts w:cs="Arial"/>
        </w:rPr>
        <w:t>–</w:t>
      </w:r>
      <w:r w:rsidRPr="00F76DF4">
        <w:rPr>
          <w:rFonts w:cs="Arial"/>
        </w:rPr>
        <w:t>28.</w:t>
      </w:r>
    </w:p>
    <w:p w14:paraId="327C03EC" w14:textId="7E226D6B" w:rsidR="009243FA" w:rsidRPr="0085355D" w:rsidRDefault="009243FA" w:rsidP="00FB1EAF">
      <w:pPr>
        <w:pStyle w:val="ListParagraph"/>
        <w:numPr>
          <w:ilvl w:val="1"/>
          <w:numId w:val="22"/>
        </w:numPr>
        <w:rPr>
          <w:rFonts w:cs="Arial"/>
        </w:rPr>
      </w:pPr>
      <w:r w:rsidRPr="0085355D">
        <w:rPr>
          <w:rFonts w:cs="Arial"/>
        </w:rPr>
        <w:t xml:space="preserve">A 250-year argument: Belief, behavior, and the bootstrap (2013). </w:t>
      </w:r>
      <w:r w:rsidRPr="0085355D">
        <w:rPr>
          <w:rFonts w:cs="Arial"/>
          <w:i/>
        </w:rPr>
        <w:t>Bull. Amer. Math. Soc</w:t>
      </w:r>
      <w:r w:rsidRPr="0085355D">
        <w:rPr>
          <w:rFonts w:cs="Arial"/>
        </w:rPr>
        <w:t xml:space="preserve">. </w:t>
      </w:r>
      <w:r w:rsidRPr="0085355D">
        <w:rPr>
          <w:rFonts w:cs="Arial"/>
          <w:b/>
        </w:rPr>
        <w:t>50</w:t>
      </w:r>
      <w:r w:rsidRPr="0085355D">
        <w:rPr>
          <w:rFonts w:cs="Arial"/>
        </w:rPr>
        <w:t>, 129</w:t>
      </w:r>
      <w:r w:rsidR="0085355D">
        <w:rPr>
          <w:rFonts w:cs="Arial"/>
        </w:rPr>
        <w:t>–</w:t>
      </w:r>
      <w:r w:rsidRPr="0085355D">
        <w:rPr>
          <w:rFonts w:cs="Arial"/>
        </w:rPr>
        <w:t>146.</w:t>
      </w:r>
      <w:r w:rsidR="0085355D" w:rsidRPr="0085355D">
        <w:rPr>
          <w:rFonts w:cs="Arial"/>
        </w:rPr>
        <w:t xml:space="preserve"> </w:t>
      </w:r>
      <w:r w:rsidRPr="0085355D">
        <w:rPr>
          <w:rFonts w:cs="Arial"/>
        </w:rPr>
        <w:t>doi:10.1090/S0273-0979-2012-01374-5</w:t>
      </w:r>
    </w:p>
    <w:p w14:paraId="5B100CCA" w14:textId="77777777" w:rsidR="00196D78" w:rsidRDefault="00196D78" w:rsidP="00196D78"/>
    <w:p w14:paraId="4DF5C4C8" w14:textId="77777777" w:rsidR="00E67A05" w:rsidRDefault="00E67A05" w:rsidP="00D825A1">
      <w:pPr>
        <w:pStyle w:val="Heading1"/>
      </w:pPr>
      <w:r>
        <w:t>D.</w:t>
      </w:r>
      <w:r>
        <w:tab/>
        <w:t>Research Support</w:t>
      </w:r>
    </w:p>
    <w:p w14:paraId="5CB83A18" w14:textId="2665F4E9" w:rsidR="00196D78" w:rsidRPr="00196D78" w:rsidRDefault="00196D78" w:rsidP="00196D78">
      <w:pPr>
        <w:pStyle w:val="Heading2"/>
        <w:rPr>
          <w:b w:val="0"/>
          <w:i/>
        </w:rPr>
      </w:pPr>
      <w:r w:rsidRPr="00196D78">
        <w:rPr>
          <w:b w:val="0"/>
          <w:i/>
        </w:rPr>
        <w:t>Ongoing Research Support</w:t>
      </w:r>
    </w:p>
    <w:p w14:paraId="2E33111E" w14:textId="15AE3AF1" w:rsidR="00A066D4" w:rsidRDefault="00A066D4" w:rsidP="001869B9"/>
    <w:p w14:paraId="69CD76A8" w14:textId="2024EB64" w:rsidR="00BF7D1F" w:rsidRDefault="00BF7D1F" w:rsidP="00BF7D1F">
      <w:r>
        <w:t xml:space="preserve">NSF DMS 1208787 </w:t>
      </w:r>
      <w:r>
        <w:t>(Efron)</w:t>
      </w:r>
      <w:r>
        <w:tab/>
      </w:r>
      <w:r>
        <w:tab/>
      </w:r>
      <w:r>
        <w:tab/>
      </w:r>
      <w:r>
        <w:tab/>
      </w:r>
      <w:r>
        <w:tab/>
      </w:r>
      <w:r>
        <w:tab/>
      </w:r>
      <w:r>
        <w:tab/>
      </w:r>
      <w:r>
        <w:tab/>
      </w:r>
      <w:r>
        <w:tab/>
      </w:r>
      <w:r>
        <w:tab/>
      </w:r>
      <w:r>
        <w:tab/>
      </w:r>
      <w:r>
        <w:tab/>
      </w:r>
      <w:r>
        <w:tab/>
      </w:r>
      <w:r>
        <w:tab/>
      </w:r>
      <w:r>
        <w:tab/>
        <w:t>07/01/</w:t>
      </w:r>
      <w:r>
        <w:t>2016</w:t>
      </w:r>
      <w:r>
        <w:t>–</w:t>
      </w:r>
      <w:r>
        <w:t>06/30/2019</w:t>
      </w:r>
    </w:p>
    <w:p w14:paraId="0A4DF150" w14:textId="77777777" w:rsidR="00BF7D1F" w:rsidRDefault="00BF7D1F" w:rsidP="00BF7D1F">
      <w:r>
        <w:t>Statistical Theory and Methodology</w:t>
      </w:r>
    </w:p>
    <w:p w14:paraId="7749624F" w14:textId="1FB56908" w:rsidR="00BF7D1F" w:rsidRDefault="00BF7D1F" w:rsidP="00BF7D1F">
      <w:r>
        <w:t xml:space="preserve">The aim of this research is to develop theoretical ideas in mathematical statistics and probability. The more theoretical work on scatterplot smoothing was partially supported by this grant. The NIH grant and this NSF grant jointly supported </w:t>
      </w:r>
      <w:proofErr w:type="spellStart"/>
      <w:r>
        <w:t>Efron's</w:t>
      </w:r>
      <w:proofErr w:type="spellEnd"/>
      <w:r>
        <w:t xml:space="preserve"> work on model selection.</w:t>
      </w:r>
    </w:p>
    <w:p w14:paraId="554D6789" w14:textId="77777777" w:rsidR="00BF7D1F" w:rsidRDefault="00BF7D1F" w:rsidP="001869B9"/>
    <w:p w14:paraId="390D9D8C" w14:textId="787DC004" w:rsidR="00BF7D1F" w:rsidRDefault="00BF7D1F" w:rsidP="00BF7D1F">
      <w:r>
        <w:t xml:space="preserve">NIH </w:t>
      </w:r>
      <w:r>
        <w:t>UL1 TR00108503 (Greenberg, Harry B.)</w:t>
      </w:r>
      <w:r>
        <w:tab/>
      </w:r>
      <w:r>
        <w:tab/>
      </w:r>
      <w:r>
        <w:tab/>
      </w:r>
      <w:r>
        <w:tab/>
      </w:r>
      <w:r>
        <w:tab/>
      </w:r>
      <w:r>
        <w:tab/>
      </w:r>
      <w:r>
        <w:tab/>
      </w:r>
      <w:r>
        <w:tab/>
      </w:r>
      <w:r>
        <w:tab/>
      </w:r>
      <w:r>
        <w:tab/>
      </w:r>
      <w:r>
        <w:t>09/26/</w:t>
      </w:r>
      <w:r>
        <w:t>2013–04/30/2018</w:t>
      </w:r>
    </w:p>
    <w:p w14:paraId="5A61D3E2" w14:textId="77777777" w:rsidR="00BF7D1F" w:rsidRDefault="00BF7D1F" w:rsidP="00BF7D1F">
      <w:r>
        <w:t>Spectrum Stanford Center for clinical and Translational Research and Education</w:t>
      </w:r>
    </w:p>
    <w:p w14:paraId="760A5EA3" w14:textId="0D8B0803" w:rsidR="00BF7D1F" w:rsidRDefault="00BF7D1F" w:rsidP="00BF7D1F">
      <w:r>
        <w:t>This is a trans-institutional CTSA to transform clinical and translational research and education at Stanford. It consists of 12 separate programs, each focused on ensuring that basic discoveries get translated into improvements in human health and wellbeing.</w:t>
      </w:r>
    </w:p>
    <w:p w14:paraId="06DD95BE" w14:textId="77777777" w:rsidR="00BF7D1F" w:rsidRDefault="00BF7D1F" w:rsidP="00BF7D1F"/>
    <w:p w14:paraId="3E04DD3D" w14:textId="420EA85B" w:rsidR="00BF7D1F" w:rsidRDefault="00BF7D1F" w:rsidP="00BF7D1F">
      <w:r>
        <w:t xml:space="preserve">NIH </w:t>
      </w:r>
      <w:r>
        <w:t>1 UH2 TR000902 (</w:t>
      </w:r>
      <w:proofErr w:type="spellStart"/>
      <w:r>
        <w:t>Matin</w:t>
      </w:r>
      <w:proofErr w:type="spellEnd"/>
      <w:r>
        <w:t>, A.C.)</w:t>
      </w:r>
      <w:r>
        <w:tab/>
      </w:r>
      <w:r>
        <w:tab/>
      </w:r>
      <w:r>
        <w:tab/>
      </w:r>
      <w:r>
        <w:tab/>
      </w:r>
      <w:r>
        <w:tab/>
      </w:r>
      <w:r>
        <w:tab/>
      </w:r>
      <w:r>
        <w:tab/>
      </w:r>
      <w:r>
        <w:tab/>
      </w:r>
      <w:r>
        <w:tab/>
      </w:r>
      <w:r>
        <w:tab/>
      </w:r>
      <w:r>
        <w:tab/>
      </w:r>
      <w:r>
        <w:tab/>
      </w:r>
      <w:r>
        <w:tab/>
      </w:r>
      <w:r>
        <w:t>08/01/</w:t>
      </w:r>
      <w:r>
        <w:t>2013–07/31/2018</w:t>
      </w:r>
    </w:p>
    <w:p w14:paraId="5BA83EE8" w14:textId="77777777" w:rsidR="00BF7D1F" w:rsidRDefault="00BF7D1F" w:rsidP="00BF7D1F">
      <w:r>
        <w:t xml:space="preserve">HER2-targeted </w:t>
      </w:r>
      <w:proofErr w:type="spellStart"/>
      <w:r>
        <w:t>exosomal</w:t>
      </w:r>
      <w:proofErr w:type="spellEnd"/>
      <w:r>
        <w:t xml:space="preserve"> delivery of therapeutic mRNA for enzyme pro-drug therapy</w:t>
      </w:r>
    </w:p>
    <w:p w14:paraId="1FE1B455" w14:textId="29BF2618" w:rsidR="00BF7D1F" w:rsidRDefault="00BF7D1F" w:rsidP="00BF7D1F">
      <w:r>
        <w:t>To specifically deliver a prodrug regimen to HER2+ve breast cancer for treating it with no or minimal side effects.</w:t>
      </w:r>
    </w:p>
    <w:p w14:paraId="7BB76376" w14:textId="77777777" w:rsidR="002B3FDB" w:rsidRDefault="002B3FDB" w:rsidP="002B3FDB"/>
    <w:p w14:paraId="475D95C2" w14:textId="77777777" w:rsidR="00BF7D1F" w:rsidRDefault="00BF7D1F" w:rsidP="002B3FDB"/>
    <w:p w14:paraId="43672C1A" w14:textId="77777777" w:rsidR="00BF7D1F" w:rsidRDefault="00BF7D1F" w:rsidP="002B3FDB"/>
    <w:p w14:paraId="183AA815" w14:textId="77777777" w:rsidR="00196D78" w:rsidRPr="00196D78" w:rsidRDefault="00196D78" w:rsidP="00196D78">
      <w:pPr>
        <w:pStyle w:val="Heading2"/>
        <w:rPr>
          <w:b w:val="0"/>
          <w:i/>
        </w:rPr>
      </w:pPr>
      <w:r w:rsidRPr="00196D78">
        <w:rPr>
          <w:b w:val="0"/>
          <w:i/>
        </w:rPr>
        <w:lastRenderedPageBreak/>
        <w:t>Completed Research Support</w:t>
      </w:r>
    </w:p>
    <w:p w14:paraId="1D4EF50A" w14:textId="77777777" w:rsidR="00196D78" w:rsidRDefault="00196D78" w:rsidP="00196D78"/>
    <w:p w14:paraId="7059B0A1" w14:textId="77777777" w:rsidR="00BF7D1F" w:rsidRDefault="00BF7D1F" w:rsidP="00BF7D1F">
      <w:r>
        <w:t>NSF DMS 1208787 (Efron)</w:t>
      </w:r>
      <w:r>
        <w:tab/>
      </w:r>
      <w:r>
        <w:tab/>
      </w:r>
      <w:r>
        <w:tab/>
      </w:r>
      <w:r>
        <w:tab/>
      </w:r>
      <w:r>
        <w:tab/>
      </w:r>
      <w:r>
        <w:tab/>
      </w:r>
      <w:r>
        <w:tab/>
      </w:r>
      <w:r>
        <w:tab/>
      </w:r>
      <w:r>
        <w:tab/>
      </w:r>
      <w:r>
        <w:tab/>
      </w:r>
      <w:r>
        <w:tab/>
      </w:r>
      <w:r>
        <w:tab/>
      </w:r>
      <w:r>
        <w:tab/>
      </w:r>
      <w:r>
        <w:tab/>
      </w:r>
      <w:r>
        <w:tab/>
        <w:t>07/01/2012–06/30/2016</w:t>
      </w:r>
    </w:p>
    <w:p w14:paraId="3BD9FB7D" w14:textId="77777777" w:rsidR="00BF7D1F" w:rsidRDefault="00BF7D1F" w:rsidP="00BF7D1F">
      <w:r>
        <w:t>Statistical Theory and Methodology</w:t>
      </w:r>
    </w:p>
    <w:p w14:paraId="3491AC93" w14:textId="77777777" w:rsidR="00BF7D1F" w:rsidRDefault="00BF7D1F" w:rsidP="00BF7D1F">
      <w:r>
        <w:t xml:space="preserve">The aim of this research is to develop theoretical ideas in mathematical statistics and probability. The more theoretical work on scatterplot smoothing was partially supported by this grant. The NIH grant and this NSF grant jointly supported </w:t>
      </w:r>
      <w:proofErr w:type="spellStart"/>
      <w:r>
        <w:t>Efron's</w:t>
      </w:r>
      <w:proofErr w:type="spellEnd"/>
      <w:r>
        <w:t xml:space="preserve"> work on model selection.  Role: PI</w:t>
      </w:r>
    </w:p>
    <w:p w14:paraId="539645CA" w14:textId="77777777" w:rsidR="00BF7D1F" w:rsidRDefault="00BF7D1F" w:rsidP="00BF7D1F"/>
    <w:p w14:paraId="47002DAD" w14:textId="77777777" w:rsidR="00BF7D1F" w:rsidRDefault="00BF7D1F" w:rsidP="00BF7D1F">
      <w:r>
        <w:t>NIH 1R01 MH10178203 (</w:t>
      </w:r>
      <w:proofErr w:type="spellStart"/>
      <w:r>
        <w:t>Sabatti</w:t>
      </w:r>
      <w:proofErr w:type="spellEnd"/>
      <w:r>
        <w:t>, Chiara)</w:t>
      </w:r>
      <w:r>
        <w:tab/>
      </w:r>
      <w:r>
        <w:tab/>
      </w:r>
      <w:r>
        <w:tab/>
      </w:r>
      <w:r>
        <w:tab/>
      </w:r>
      <w:r>
        <w:tab/>
      </w:r>
      <w:r>
        <w:tab/>
      </w:r>
      <w:r>
        <w:tab/>
      </w:r>
      <w:r>
        <w:tab/>
      </w:r>
      <w:r>
        <w:tab/>
      </w:r>
      <w:r>
        <w:tab/>
      </w:r>
      <w:r>
        <w:tab/>
      </w:r>
      <w:r>
        <w:tab/>
        <w:t>08/01/2013–07/31/2016</w:t>
      </w:r>
    </w:p>
    <w:p w14:paraId="6CE510C6" w14:textId="77777777" w:rsidR="00BF7D1F" w:rsidRDefault="00BF7D1F" w:rsidP="00BF7D1F">
      <w:r>
        <w:t>Genetic Regulation of Gene Expression and its Impact on Phenotypes</w:t>
      </w:r>
    </w:p>
    <w:p w14:paraId="2AC16E59" w14:textId="77777777" w:rsidR="00BF7D1F" w:rsidRDefault="00BF7D1F" w:rsidP="00BF7D1F">
      <w:r>
        <w:t xml:space="preserve">This project will develop statistical methodologies to identify genetic determinants of differential gene expression across tissues; we will rely on meta-analysis and on new multiple comparisons correction procedures. We will apply the methods to the analysis of </w:t>
      </w:r>
      <w:proofErr w:type="spellStart"/>
      <w:r>
        <w:t>GTEx</w:t>
      </w:r>
      <w:proofErr w:type="spellEnd"/>
      <w:r>
        <w:t xml:space="preserve"> data as well as datasets collected in the study of bipolar disorder and dyslipidemia.</w:t>
      </w:r>
    </w:p>
    <w:p w14:paraId="2AE00CD9" w14:textId="77777777" w:rsidR="00BF7D1F" w:rsidRDefault="00BF7D1F" w:rsidP="00196D78"/>
    <w:p w14:paraId="6B76206D" w14:textId="77777777" w:rsidR="00A215DC" w:rsidRDefault="00A215DC" w:rsidP="00A215DC">
      <w:r>
        <w:t>NIH 8R37 EB002784 (Efron)</w:t>
      </w:r>
      <w:r>
        <w:tab/>
      </w:r>
      <w:r>
        <w:tab/>
      </w:r>
      <w:r>
        <w:tab/>
      </w:r>
      <w:r>
        <w:tab/>
      </w:r>
      <w:r>
        <w:tab/>
      </w:r>
      <w:r>
        <w:tab/>
      </w:r>
      <w:r>
        <w:tab/>
      </w:r>
      <w:r>
        <w:tab/>
      </w:r>
      <w:r>
        <w:tab/>
      </w:r>
      <w:r>
        <w:tab/>
      </w:r>
      <w:r>
        <w:tab/>
      </w:r>
      <w:r>
        <w:tab/>
      </w:r>
      <w:r>
        <w:tab/>
      </w:r>
      <w:r>
        <w:tab/>
      </w:r>
      <w:r>
        <w:tab/>
        <w:t>02/01/2010–01/31/2016</w:t>
      </w:r>
    </w:p>
    <w:p w14:paraId="2DC6ECA9" w14:textId="77777777" w:rsidR="00A215DC" w:rsidRDefault="00A215DC" w:rsidP="00A215DC">
      <w:r>
        <w:t xml:space="preserve">Adaptation of New Statistical Ideas for Medicine </w:t>
      </w:r>
    </w:p>
    <w:p w14:paraId="4371DAFF" w14:textId="77777777" w:rsidR="00A215DC" w:rsidRDefault="00A215DC" w:rsidP="00A215DC">
      <w:r>
        <w:t>The primary goal for this grant is the practical analysis of statistical power for microarray studies. Power here refers to the ability of the study to identify individual genes that are involved in differential Expression.  Role: PI</w:t>
      </w:r>
    </w:p>
    <w:p w14:paraId="2D0AF359" w14:textId="77777777" w:rsidR="009C16ED" w:rsidRDefault="009C16ED" w:rsidP="002B3FDB">
      <w:pPr>
        <w:rPr>
          <w:rFonts w:cs="Arial"/>
          <w:szCs w:val="22"/>
        </w:rPr>
      </w:pPr>
    </w:p>
    <w:p w14:paraId="3B0316BA" w14:textId="77777777" w:rsidR="009C16ED" w:rsidRDefault="009C16ED" w:rsidP="009C16ED">
      <w:r>
        <w:t>NSF DMS 1208787 (Efron)</w:t>
      </w:r>
      <w:r>
        <w:tab/>
      </w:r>
      <w:r>
        <w:tab/>
      </w:r>
      <w:r>
        <w:tab/>
      </w:r>
      <w:r>
        <w:tab/>
      </w:r>
      <w:r>
        <w:tab/>
      </w:r>
      <w:r>
        <w:tab/>
      </w:r>
      <w:r>
        <w:tab/>
      </w:r>
      <w:r>
        <w:tab/>
      </w:r>
      <w:r>
        <w:tab/>
      </w:r>
      <w:r>
        <w:tab/>
      </w:r>
      <w:r>
        <w:tab/>
      </w:r>
      <w:r>
        <w:tab/>
      </w:r>
      <w:r>
        <w:tab/>
      </w:r>
      <w:r>
        <w:tab/>
      </w:r>
      <w:r>
        <w:tab/>
        <w:t>07/01/2012–06/30/2015</w:t>
      </w:r>
    </w:p>
    <w:p w14:paraId="008BB6BE" w14:textId="77777777" w:rsidR="009C16ED" w:rsidRDefault="009C16ED" w:rsidP="009C16ED">
      <w:r>
        <w:t>Statistical Theory and Methodology</w:t>
      </w:r>
    </w:p>
    <w:p w14:paraId="0AEE40FD" w14:textId="77777777" w:rsidR="009C16ED" w:rsidRDefault="009C16ED" w:rsidP="009C16ED">
      <w:r>
        <w:t xml:space="preserve">The aim of this research is to develop theoretical ideas in mathematical statistics and probability. The more theoretical work on scatterplot smoothing was partially supported by this grant. The NIH grant and this NSF grant jointly supported </w:t>
      </w:r>
      <w:proofErr w:type="spellStart"/>
      <w:r>
        <w:t>Efron's</w:t>
      </w:r>
      <w:proofErr w:type="spellEnd"/>
      <w:r>
        <w:t xml:space="preserve"> work on model selection.  Role: PI</w:t>
      </w:r>
    </w:p>
    <w:p w14:paraId="4E5A0D98" w14:textId="22110460" w:rsidR="009E52CA" w:rsidRPr="00F7284D" w:rsidRDefault="009E52CA" w:rsidP="001869B9"/>
    <w:sectPr w:rsidR="009E52CA" w:rsidRPr="00F7284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8188" w14:textId="77777777" w:rsidR="00503A1D" w:rsidRDefault="00503A1D">
      <w:r>
        <w:separator/>
      </w:r>
    </w:p>
  </w:endnote>
  <w:endnote w:type="continuationSeparator" w:id="0">
    <w:p w14:paraId="7DA13799" w14:textId="77777777" w:rsidR="00503A1D" w:rsidRDefault="0050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421A" w14:textId="77777777" w:rsidR="00503A1D" w:rsidRDefault="00503A1D">
      <w:r>
        <w:separator/>
      </w:r>
    </w:p>
  </w:footnote>
  <w:footnote w:type="continuationSeparator" w:id="0">
    <w:p w14:paraId="2C48CA89" w14:textId="77777777" w:rsidR="00503A1D" w:rsidRDefault="0050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3807704A"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C5546"/>
    <w:multiLevelType w:val="hybridMultilevel"/>
    <w:tmpl w:val="80EA1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107195B"/>
    <w:multiLevelType w:val="hybridMultilevel"/>
    <w:tmpl w:val="EDB4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2"/>
  </w:num>
  <w:num w:numId="14">
    <w:abstractNumId w:val="20"/>
  </w:num>
  <w:num w:numId="15">
    <w:abstractNumId w:val="18"/>
  </w:num>
  <w:num w:numId="16">
    <w:abstractNumId w:val="19"/>
  </w:num>
  <w:num w:numId="17">
    <w:abstractNumId w:val="10"/>
  </w:num>
  <w:num w:numId="18">
    <w:abstractNumId w:val="14"/>
  </w:num>
  <w:num w:numId="19">
    <w:abstractNumId w:val="13"/>
  </w:num>
  <w:num w:numId="20">
    <w:abstractNumId w:val="15"/>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64BA"/>
    <w:rsid w:val="00067621"/>
    <w:rsid w:val="000F1B2F"/>
    <w:rsid w:val="00122EB3"/>
    <w:rsid w:val="00132CA6"/>
    <w:rsid w:val="0014571A"/>
    <w:rsid w:val="00170D87"/>
    <w:rsid w:val="0017792C"/>
    <w:rsid w:val="00177D49"/>
    <w:rsid w:val="001869B9"/>
    <w:rsid w:val="00191A39"/>
    <w:rsid w:val="00196D78"/>
    <w:rsid w:val="001C2A1E"/>
    <w:rsid w:val="00240E97"/>
    <w:rsid w:val="00241711"/>
    <w:rsid w:val="00272019"/>
    <w:rsid w:val="0028051C"/>
    <w:rsid w:val="002B3FDB"/>
    <w:rsid w:val="002D7520"/>
    <w:rsid w:val="002E5125"/>
    <w:rsid w:val="003005E5"/>
    <w:rsid w:val="00302699"/>
    <w:rsid w:val="00321A19"/>
    <w:rsid w:val="00342D92"/>
    <w:rsid w:val="0035045F"/>
    <w:rsid w:val="0037667F"/>
    <w:rsid w:val="00382AB6"/>
    <w:rsid w:val="00383712"/>
    <w:rsid w:val="003A769E"/>
    <w:rsid w:val="003C2647"/>
    <w:rsid w:val="003C62D6"/>
    <w:rsid w:val="003D2399"/>
    <w:rsid w:val="003E1568"/>
    <w:rsid w:val="003F6A45"/>
    <w:rsid w:val="00432346"/>
    <w:rsid w:val="00447F3A"/>
    <w:rsid w:val="004759D9"/>
    <w:rsid w:val="0049068A"/>
    <w:rsid w:val="004A3FC8"/>
    <w:rsid w:val="004C493C"/>
    <w:rsid w:val="00503A1D"/>
    <w:rsid w:val="00503B57"/>
    <w:rsid w:val="005139D8"/>
    <w:rsid w:val="005145BB"/>
    <w:rsid w:val="00517BFD"/>
    <w:rsid w:val="0054471F"/>
    <w:rsid w:val="00547AC9"/>
    <w:rsid w:val="005533AB"/>
    <w:rsid w:val="00580DD3"/>
    <w:rsid w:val="00592740"/>
    <w:rsid w:val="005B2B60"/>
    <w:rsid w:val="005C2BDD"/>
    <w:rsid w:val="005C47A8"/>
    <w:rsid w:val="005E406E"/>
    <w:rsid w:val="005F5F51"/>
    <w:rsid w:val="00601C69"/>
    <w:rsid w:val="00602D0E"/>
    <w:rsid w:val="00616BCC"/>
    <w:rsid w:val="00624261"/>
    <w:rsid w:val="00646AF9"/>
    <w:rsid w:val="00650611"/>
    <w:rsid w:val="00656957"/>
    <w:rsid w:val="006609B6"/>
    <w:rsid w:val="0068699D"/>
    <w:rsid w:val="006A353C"/>
    <w:rsid w:val="006A56FC"/>
    <w:rsid w:val="006B2D1C"/>
    <w:rsid w:val="006C1E1F"/>
    <w:rsid w:val="007050F5"/>
    <w:rsid w:val="0071140F"/>
    <w:rsid w:val="00722C8F"/>
    <w:rsid w:val="007555C2"/>
    <w:rsid w:val="00781234"/>
    <w:rsid w:val="00787826"/>
    <w:rsid w:val="007B7AF3"/>
    <w:rsid w:val="008073EB"/>
    <w:rsid w:val="00812185"/>
    <w:rsid w:val="00817055"/>
    <w:rsid w:val="00843027"/>
    <w:rsid w:val="0085355D"/>
    <w:rsid w:val="00874EBC"/>
    <w:rsid w:val="009054EA"/>
    <w:rsid w:val="009211D3"/>
    <w:rsid w:val="009243FA"/>
    <w:rsid w:val="00934124"/>
    <w:rsid w:val="00952A27"/>
    <w:rsid w:val="00997884"/>
    <w:rsid w:val="009B7508"/>
    <w:rsid w:val="009C16ED"/>
    <w:rsid w:val="009D7E97"/>
    <w:rsid w:val="009E52CA"/>
    <w:rsid w:val="009F72E5"/>
    <w:rsid w:val="00A04942"/>
    <w:rsid w:val="00A04B52"/>
    <w:rsid w:val="00A066D4"/>
    <w:rsid w:val="00A1469B"/>
    <w:rsid w:val="00A14EF5"/>
    <w:rsid w:val="00A215DC"/>
    <w:rsid w:val="00A26D0F"/>
    <w:rsid w:val="00A42D9B"/>
    <w:rsid w:val="00A7514C"/>
    <w:rsid w:val="00A8122C"/>
    <w:rsid w:val="00A83312"/>
    <w:rsid w:val="00A93453"/>
    <w:rsid w:val="00AE0C01"/>
    <w:rsid w:val="00AE41C4"/>
    <w:rsid w:val="00AE686E"/>
    <w:rsid w:val="00B42C60"/>
    <w:rsid w:val="00B929F5"/>
    <w:rsid w:val="00BF7D1F"/>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122B3"/>
    <w:rsid w:val="00D51DC4"/>
    <w:rsid w:val="00D679E5"/>
    <w:rsid w:val="00D74391"/>
    <w:rsid w:val="00D825A1"/>
    <w:rsid w:val="00D83360"/>
    <w:rsid w:val="00DB7B85"/>
    <w:rsid w:val="00DD31B4"/>
    <w:rsid w:val="00DF7645"/>
    <w:rsid w:val="00E127A1"/>
    <w:rsid w:val="00E154C3"/>
    <w:rsid w:val="00E350F1"/>
    <w:rsid w:val="00E355C2"/>
    <w:rsid w:val="00E37E57"/>
    <w:rsid w:val="00E53B95"/>
    <w:rsid w:val="00E67A05"/>
    <w:rsid w:val="00E74AB7"/>
    <w:rsid w:val="00E81FE1"/>
    <w:rsid w:val="00E90203"/>
    <w:rsid w:val="00EA0405"/>
    <w:rsid w:val="00EF28A9"/>
    <w:rsid w:val="00EF4C32"/>
    <w:rsid w:val="00EF69CD"/>
    <w:rsid w:val="00F02126"/>
    <w:rsid w:val="00F07AB3"/>
    <w:rsid w:val="00F262AB"/>
    <w:rsid w:val="00F34166"/>
    <w:rsid w:val="00F7284D"/>
    <w:rsid w:val="00F76DF4"/>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4DF5C490"/>
  <w15:docId w15:val="{0B06D418-B4D5-4D32-83F0-B282408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DataField11pt">
    <w:name w:val="Data Field 11pt"/>
    <w:basedOn w:val="Normal"/>
    <w:rsid w:val="002B3FDB"/>
    <w:pPr>
      <w:spacing w:line="300" w:lineRule="exact"/>
    </w:pPr>
    <w:rPr>
      <w:rFonts w:cs="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CE26-06FF-4835-817C-1A5CD3E7E1B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97b54082-1e85-426d-afc6-16ad99d216c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5BE48-95DC-4284-916E-93A38694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11742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Cindy Kirby</cp:lastModifiedBy>
  <cp:revision>4</cp:revision>
  <cp:lastPrinted>2016-04-04T17:52:00Z</cp:lastPrinted>
  <dcterms:created xsi:type="dcterms:W3CDTF">2017-01-10T20:13:00Z</dcterms:created>
  <dcterms:modified xsi:type="dcterms:W3CDTF">2017-01-10T20:29:00Z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