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2AC05" w14:textId="3A8FC9BD" w:rsidR="00321A19" w:rsidRDefault="00321A19" w:rsidP="00321A19">
      <w:pPr>
        <w:pStyle w:val="OMBInfo"/>
      </w:pPr>
      <w:r>
        <w:t>OMB No. 0925-0001</w:t>
      </w:r>
      <w:r w:rsidR="00FC5F9E">
        <w:t xml:space="preserve"> and 0925-</w:t>
      </w:r>
      <w:r>
        <w:t xml:space="preserve">0002 (Rev. </w:t>
      </w:r>
      <w:r w:rsidR="00F94A2B">
        <w:t>10</w:t>
      </w:r>
      <w:r w:rsidR="00FC5F9E">
        <w:t>/15</w:t>
      </w:r>
      <w:r>
        <w:t xml:space="preserve"> Approved Through </w:t>
      </w:r>
      <w:r w:rsidR="00FC5F9E">
        <w:t>10</w:t>
      </w:r>
      <w:r>
        <w:t>/31/</w:t>
      </w:r>
      <w:r w:rsidR="00FC5F9E">
        <w:t>2018</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6D957345" w:rsidR="002B7443" w:rsidRPr="00D3779E" w:rsidRDefault="002B7443" w:rsidP="002B7443">
      <w:pPr>
        <w:pStyle w:val="FormFieldCaption1"/>
        <w:pBdr>
          <w:between w:val="single" w:sz="4" w:space="1" w:color="auto"/>
        </w:pBdr>
        <w:rPr>
          <w:sz w:val="32"/>
        </w:rPr>
      </w:pPr>
      <w:r w:rsidRPr="00D3779E">
        <w:rPr>
          <w:sz w:val="22"/>
        </w:rPr>
        <w:t>NAME:</w:t>
      </w:r>
      <w:r w:rsidR="00AE01E6">
        <w:rPr>
          <w:sz w:val="22"/>
        </w:rPr>
        <w:t xml:space="preserve">  Peter K. Jackson</w:t>
      </w:r>
    </w:p>
    <w:p w14:paraId="7FFF41C1" w14:textId="19741B93" w:rsidR="002B7443" w:rsidRPr="00D3779E" w:rsidRDefault="00E047AD" w:rsidP="002B7443">
      <w:pPr>
        <w:pStyle w:val="FormFieldCaption1"/>
        <w:pBdr>
          <w:between w:val="single" w:sz="4" w:space="1" w:color="auto"/>
        </w:pBdr>
        <w:rPr>
          <w:sz w:val="32"/>
        </w:rPr>
      </w:pPr>
      <w:r w:rsidRPr="00D3779E">
        <w:rPr>
          <w:sz w:val="22"/>
        </w:rPr>
        <w:t>eRA COMMONS USER NAME (credential, e.g., agency login)</w:t>
      </w:r>
      <w:r w:rsidR="002B7443" w:rsidRPr="00D3779E">
        <w:rPr>
          <w:sz w:val="22"/>
        </w:rPr>
        <w:t>:</w:t>
      </w:r>
      <w:r w:rsidR="00AE01E6">
        <w:rPr>
          <w:sz w:val="22"/>
        </w:rPr>
        <w:t xml:space="preserve">  JACKSON.PETER</w:t>
      </w:r>
      <w:r w:rsidR="00AE01E6">
        <w:rPr>
          <w:sz w:val="22"/>
        </w:rPr>
        <w:tab/>
      </w:r>
    </w:p>
    <w:p w14:paraId="74873D9A" w14:textId="16529379"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AE01E6">
        <w:rPr>
          <w:sz w:val="22"/>
        </w:rPr>
        <w:t xml:space="preserve">  Professor of Microbiology and Immunology</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933173" w:rsidRPr="00D3779E" w14:paraId="21BBC1F3" w14:textId="77777777" w:rsidTr="00547118">
        <w:trPr>
          <w:cantSplit/>
          <w:tblHeader/>
        </w:trPr>
        <w:tc>
          <w:tcPr>
            <w:tcW w:w="5364"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440"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933173" w:rsidRPr="00D3779E" w14:paraId="5CD50646" w14:textId="77777777" w:rsidTr="003E4A92">
        <w:trPr>
          <w:cantSplit/>
          <w:trHeight w:val="395"/>
        </w:trPr>
        <w:tc>
          <w:tcPr>
            <w:tcW w:w="5364" w:type="dxa"/>
            <w:tcBorders>
              <w:top w:val="single" w:sz="4" w:space="0" w:color="auto"/>
            </w:tcBorders>
          </w:tcPr>
          <w:p w14:paraId="3B0C531B" w14:textId="6DAF3C8B" w:rsidR="00933173" w:rsidRPr="00977FA5" w:rsidRDefault="00AE01E6" w:rsidP="00ED35D7">
            <w:pPr>
              <w:pStyle w:val="FormFieldCaption"/>
              <w:spacing w:before="20" w:after="20"/>
              <w:rPr>
                <w:sz w:val="22"/>
                <w:szCs w:val="22"/>
              </w:rPr>
            </w:pPr>
            <w:r>
              <w:rPr>
                <w:sz w:val="22"/>
                <w:szCs w:val="22"/>
              </w:rPr>
              <w:t>Yale College, New Haven, CT</w:t>
            </w:r>
          </w:p>
        </w:tc>
        <w:tc>
          <w:tcPr>
            <w:tcW w:w="1440" w:type="dxa"/>
            <w:tcBorders>
              <w:top w:val="single" w:sz="4" w:space="0" w:color="auto"/>
            </w:tcBorders>
          </w:tcPr>
          <w:p w14:paraId="62DD05C1" w14:textId="1B49FCB6" w:rsidR="00933173" w:rsidRPr="00977FA5" w:rsidRDefault="00AE01E6" w:rsidP="003E4A92">
            <w:pPr>
              <w:pStyle w:val="FormFieldCaption"/>
              <w:spacing w:before="20" w:after="20"/>
              <w:jc w:val="center"/>
              <w:rPr>
                <w:sz w:val="22"/>
                <w:szCs w:val="22"/>
              </w:rPr>
            </w:pPr>
            <w:r>
              <w:rPr>
                <w:sz w:val="22"/>
                <w:szCs w:val="22"/>
              </w:rPr>
              <w:t>BA</w:t>
            </w:r>
          </w:p>
        </w:tc>
        <w:tc>
          <w:tcPr>
            <w:tcW w:w="1440" w:type="dxa"/>
            <w:tcBorders>
              <w:top w:val="single" w:sz="4" w:space="0" w:color="auto"/>
            </w:tcBorders>
          </w:tcPr>
          <w:p w14:paraId="543299E0" w14:textId="4E549737" w:rsidR="00933173" w:rsidRPr="00977FA5" w:rsidRDefault="00AE01E6" w:rsidP="003E4A92">
            <w:pPr>
              <w:pStyle w:val="FormFieldCaption"/>
              <w:spacing w:before="20" w:after="20"/>
              <w:jc w:val="center"/>
              <w:rPr>
                <w:sz w:val="22"/>
                <w:szCs w:val="22"/>
              </w:rPr>
            </w:pPr>
            <w:r>
              <w:rPr>
                <w:sz w:val="22"/>
                <w:szCs w:val="22"/>
              </w:rPr>
              <w:t>1982</w:t>
            </w:r>
          </w:p>
        </w:tc>
        <w:tc>
          <w:tcPr>
            <w:tcW w:w="2592" w:type="dxa"/>
            <w:tcBorders>
              <w:top w:val="single" w:sz="4" w:space="0" w:color="auto"/>
            </w:tcBorders>
          </w:tcPr>
          <w:p w14:paraId="7BC5582F" w14:textId="31343452" w:rsidR="00933173" w:rsidRPr="00AE01E6" w:rsidRDefault="00AE01E6" w:rsidP="00ED35D7">
            <w:pPr>
              <w:pStyle w:val="FormFieldCaption"/>
              <w:spacing w:before="20" w:after="20"/>
              <w:rPr>
                <w:sz w:val="21"/>
                <w:szCs w:val="21"/>
              </w:rPr>
            </w:pPr>
            <w:r w:rsidRPr="00AE01E6">
              <w:rPr>
                <w:sz w:val="21"/>
                <w:szCs w:val="21"/>
              </w:rPr>
              <w:t>Mathematics/Economics</w:t>
            </w:r>
          </w:p>
        </w:tc>
      </w:tr>
      <w:tr w:rsidR="00933173" w:rsidRPr="00D3779E" w14:paraId="1515F345" w14:textId="77777777" w:rsidTr="003E4A92">
        <w:trPr>
          <w:cantSplit/>
          <w:trHeight w:val="395"/>
        </w:trPr>
        <w:tc>
          <w:tcPr>
            <w:tcW w:w="5364" w:type="dxa"/>
          </w:tcPr>
          <w:p w14:paraId="7DED23E7" w14:textId="24B740CF" w:rsidR="00933173" w:rsidRPr="00977FA5" w:rsidRDefault="00AE01E6" w:rsidP="00ED35D7">
            <w:pPr>
              <w:pStyle w:val="FormFieldCaption"/>
              <w:spacing w:before="20" w:after="20"/>
              <w:rPr>
                <w:sz w:val="22"/>
                <w:szCs w:val="22"/>
              </w:rPr>
            </w:pPr>
            <w:r>
              <w:rPr>
                <w:sz w:val="22"/>
                <w:szCs w:val="22"/>
              </w:rPr>
              <w:t>Harvard University, Cambridge, MA</w:t>
            </w:r>
          </w:p>
        </w:tc>
        <w:tc>
          <w:tcPr>
            <w:tcW w:w="1440" w:type="dxa"/>
          </w:tcPr>
          <w:p w14:paraId="0D874BFC" w14:textId="14D2F21B" w:rsidR="00933173" w:rsidRPr="00977FA5" w:rsidRDefault="00AE01E6" w:rsidP="003E4A92">
            <w:pPr>
              <w:pStyle w:val="FormFieldCaption"/>
              <w:spacing w:before="20" w:after="20"/>
              <w:jc w:val="center"/>
              <w:rPr>
                <w:sz w:val="22"/>
                <w:szCs w:val="22"/>
              </w:rPr>
            </w:pPr>
            <w:r>
              <w:rPr>
                <w:sz w:val="22"/>
                <w:szCs w:val="22"/>
              </w:rPr>
              <w:t>PhD</w:t>
            </w:r>
          </w:p>
        </w:tc>
        <w:tc>
          <w:tcPr>
            <w:tcW w:w="1440" w:type="dxa"/>
          </w:tcPr>
          <w:p w14:paraId="1A7AA7CA" w14:textId="7978EE52" w:rsidR="00933173" w:rsidRPr="00977FA5" w:rsidRDefault="00AE01E6" w:rsidP="003E4A92">
            <w:pPr>
              <w:pStyle w:val="FormFieldCaption"/>
              <w:spacing w:before="20" w:after="20"/>
              <w:jc w:val="center"/>
              <w:rPr>
                <w:sz w:val="22"/>
                <w:szCs w:val="22"/>
              </w:rPr>
            </w:pPr>
            <w:r>
              <w:rPr>
                <w:sz w:val="22"/>
                <w:szCs w:val="22"/>
              </w:rPr>
              <w:t>1990</w:t>
            </w:r>
          </w:p>
        </w:tc>
        <w:tc>
          <w:tcPr>
            <w:tcW w:w="2592" w:type="dxa"/>
          </w:tcPr>
          <w:p w14:paraId="4CC74E5C" w14:textId="17E31C59" w:rsidR="00933173" w:rsidRPr="00977FA5" w:rsidRDefault="00AE01E6" w:rsidP="00ED35D7">
            <w:pPr>
              <w:pStyle w:val="FormFieldCaption"/>
              <w:spacing w:before="20" w:after="20"/>
              <w:rPr>
                <w:sz w:val="22"/>
                <w:szCs w:val="22"/>
              </w:rPr>
            </w:pPr>
            <w:r>
              <w:rPr>
                <w:sz w:val="22"/>
                <w:szCs w:val="22"/>
              </w:rPr>
              <w:t>Biophysics</w:t>
            </w:r>
          </w:p>
        </w:tc>
      </w:tr>
      <w:tr w:rsidR="00933173" w:rsidRPr="00D3779E" w14:paraId="51E27C1C" w14:textId="77777777" w:rsidTr="003E4A92">
        <w:trPr>
          <w:cantSplit/>
          <w:trHeight w:val="395"/>
        </w:trPr>
        <w:tc>
          <w:tcPr>
            <w:tcW w:w="5364" w:type="dxa"/>
          </w:tcPr>
          <w:p w14:paraId="66BC8FF0" w14:textId="3943A0AA" w:rsidR="00933173" w:rsidRPr="00977FA5" w:rsidRDefault="00AE01E6" w:rsidP="00ED35D7">
            <w:pPr>
              <w:pStyle w:val="FormFieldCaption"/>
              <w:spacing w:before="20" w:after="20"/>
              <w:rPr>
                <w:sz w:val="22"/>
                <w:szCs w:val="22"/>
              </w:rPr>
            </w:pPr>
            <w:r>
              <w:rPr>
                <w:sz w:val="22"/>
                <w:szCs w:val="22"/>
              </w:rPr>
              <w:t>Whitehead Institute/MIT, Cambridge, MA</w:t>
            </w:r>
          </w:p>
        </w:tc>
        <w:tc>
          <w:tcPr>
            <w:tcW w:w="1440" w:type="dxa"/>
          </w:tcPr>
          <w:p w14:paraId="6AEADABA" w14:textId="4F9C6580" w:rsidR="00933173" w:rsidRPr="00977FA5" w:rsidRDefault="00AE01E6" w:rsidP="003E4A92">
            <w:pPr>
              <w:pStyle w:val="FormFieldCaption"/>
              <w:spacing w:before="20" w:after="20"/>
              <w:jc w:val="center"/>
              <w:rPr>
                <w:sz w:val="22"/>
                <w:szCs w:val="22"/>
              </w:rPr>
            </w:pPr>
            <w:r>
              <w:rPr>
                <w:sz w:val="22"/>
                <w:szCs w:val="22"/>
              </w:rPr>
              <w:t>Student</w:t>
            </w:r>
          </w:p>
        </w:tc>
        <w:tc>
          <w:tcPr>
            <w:tcW w:w="1440" w:type="dxa"/>
          </w:tcPr>
          <w:p w14:paraId="4ED60B07" w14:textId="1D45DC0F" w:rsidR="00933173" w:rsidRPr="00977FA5" w:rsidRDefault="00AE01E6" w:rsidP="003E4A92">
            <w:pPr>
              <w:pStyle w:val="FormFieldCaption"/>
              <w:spacing w:before="20" w:after="20"/>
              <w:jc w:val="center"/>
              <w:rPr>
                <w:sz w:val="22"/>
                <w:szCs w:val="22"/>
              </w:rPr>
            </w:pPr>
            <w:r>
              <w:rPr>
                <w:sz w:val="22"/>
                <w:szCs w:val="22"/>
              </w:rPr>
              <w:t>1985-91</w:t>
            </w:r>
          </w:p>
        </w:tc>
        <w:tc>
          <w:tcPr>
            <w:tcW w:w="2592" w:type="dxa"/>
          </w:tcPr>
          <w:p w14:paraId="2303550C" w14:textId="3B337C91" w:rsidR="00933173" w:rsidRPr="00977FA5" w:rsidRDefault="00AE01E6" w:rsidP="00ED35D7">
            <w:pPr>
              <w:pStyle w:val="FormFieldCaption"/>
              <w:spacing w:before="20" w:after="20"/>
              <w:rPr>
                <w:sz w:val="22"/>
                <w:szCs w:val="22"/>
              </w:rPr>
            </w:pPr>
            <w:r>
              <w:rPr>
                <w:sz w:val="22"/>
                <w:szCs w:val="22"/>
              </w:rPr>
              <w:t>Cancer Biology</w:t>
            </w:r>
          </w:p>
        </w:tc>
      </w:tr>
      <w:tr w:rsidR="00933173" w:rsidRPr="00D3779E" w14:paraId="09D52645" w14:textId="77777777" w:rsidTr="003E4A92">
        <w:trPr>
          <w:cantSplit/>
          <w:trHeight w:val="395"/>
        </w:trPr>
        <w:tc>
          <w:tcPr>
            <w:tcW w:w="5364" w:type="dxa"/>
          </w:tcPr>
          <w:p w14:paraId="76A4F390" w14:textId="62C3A52A" w:rsidR="00933173" w:rsidRPr="00977FA5" w:rsidRDefault="00AE01E6" w:rsidP="00ED35D7">
            <w:pPr>
              <w:pStyle w:val="FormFieldCaption"/>
              <w:spacing w:before="20" w:after="20"/>
              <w:rPr>
                <w:sz w:val="22"/>
                <w:szCs w:val="22"/>
              </w:rPr>
            </w:pPr>
            <w:r>
              <w:rPr>
                <w:sz w:val="22"/>
                <w:szCs w:val="22"/>
              </w:rPr>
              <w:t>Univ California, San Francisco</w:t>
            </w:r>
          </w:p>
        </w:tc>
        <w:tc>
          <w:tcPr>
            <w:tcW w:w="1440" w:type="dxa"/>
          </w:tcPr>
          <w:p w14:paraId="3120D72C" w14:textId="0C858429" w:rsidR="00933173" w:rsidRPr="00977FA5" w:rsidRDefault="00AE01E6" w:rsidP="003E4A92">
            <w:pPr>
              <w:pStyle w:val="FormFieldCaption"/>
              <w:spacing w:before="20" w:after="20"/>
              <w:jc w:val="center"/>
              <w:rPr>
                <w:sz w:val="22"/>
                <w:szCs w:val="22"/>
              </w:rPr>
            </w:pPr>
            <w:r>
              <w:rPr>
                <w:sz w:val="22"/>
                <w:szCs w:val="22"/>
              </w:rPr>
              <w:t>Postdoc</w:t>
            </w:r>
          </w:p>
        </w:tc>
        <w:tc>
          <w:tcPr>
            <w:tcW w:w="1440" w:type="dxa"/>
          </w:tcPr>
          <w:p w14:paraId="53EB7033" w14:textId="23527C9E" w:rsidR="00933173" w:rsidRPr="00977FA5" w:rsidRDefault="00AE01E6" w:rsidP="003E4A92">
            <w:pPr>
              <w:pStyle w:val="FormFieldCaption"/>
              <w:spacing w:before="20" w:after="20"/>
              <w:jc w:val="center"/>
              <w:rPr>
                <w:sz w:val="22"/>
                <w:szCs w:val="22"/>
              </w:rPr>
            </w:pPr>
            <w:r>
              <w:rPr>
                <w:sz w:val="22"/>
                <w:szCs w:val="22"/>
              </w:rPr>
              <w:t>1991-93</w:t>
            </w:r>
          </w:p>
        </w:tc>
        <w:tc>
          <w:tcPr>
            <w:tcW w:w="2592" w:type="dxa"/>
          </w:tcPr>
          <w:p w14:paraId="4418E34F" w14:textId="4A408A7C" w:rsidR="00933173" w:rsidRPr="00AE01E6" w:rsidRDefault="00AE01E6" w:rsidP="00ED35D7">
            <w:pPr>
              <w:pStyle w:val="FormFieldCaption"/>
              <w:spacing w:before="20" w:after="20"/>
              <w:rPr>
                <w:sz w:val="20"/>
                <w:szCs w:val="20"/>
              </w:rPr>
            </w:pPr>
            <w:r w:rsidRPr="00AE01E6">
              <w:rPr>
                <w:sz w:val="20"/>
                <w:szCs w:val="20"/>
              </w:rPr>
              <w:t>Biochemistry &amp; Biophysics</w:t>
            </w:r>
          </w:p>
        </w:tc>
      </w:tr>
      <w:tr w:rsidR="00933173" w:rsidRPr="00D3779E" w14:paraId="767906B9" w14:textId="77777777" w:rsidTr="003E4A92">
        <w:trPr>
          <w:cantSplit/>
          <w:trHeight w:val="395"/>
        </w:trPr>
        <w:tc>
          <w:tcPr>
            <w:tcW w:w="5364" w:type="dxa"/>
          </w:tcPr>
          <w:p w14:paraId="4D43CFA6" w14:textId="4FA7F025" w:rsidR="00933173" w:rsidRPr="00977FA5" w:rsidRDefault="00AE01E6" w:rsidP="00ED35D7">
            <w:pPr>
              <w:pStyle w:val="FormFieldCaption"/>
              <w:spacing w:before="20" w:after="20"/>
              <w:rPr>
                <w:sz w:val="22"/>
                <w:szCs w:val="22"/>
              </w:rPr>
            </w:pPr>
            <w:r>
              <w:rPr>
                <w:sz w:val="22"/>
                <w:szCs w:val="22"/>
              </w:rPr>
              <w:t>Harvard Medical School, Boston, MA</w:t>
            </w:r>
          </w:p>
        </w:tc>
        <w:tc>
          <w:tcPr>
            <w:tcW w:w="1440" w:type="dxa"/>
          </w:tcPr>
          <w:p w14:paraId="3D81FEFA" w14:textId="78B493C7" w:rsidR="00933173" w:rsidRPr="00977FA5" w:rsidRDefault="00AE01E6" w:rsidP="003E4A92">
            <w:pPr>
              <w:pStyle w:val="FormFieldCaption"/>
              <w:spacing w:before="20" w:after="20"/>
              <w:jc w:val="center"/>
              <w:rPr>
                <w:sz w:val="22"/>
                <w:szCs w:val="22"/>
              </w:rPr>
            </w:pPr>
            <w:r>
              <w:rPr>
                <w:sz w:val="22"/>
                <w:szCs w:val="22"/>
              </w:rPr>
              <w:t>Postdoc</w:t>
            </w:r>
          </w:p>
        </w:tc>
        <w:tc>
          <w:tcPr>
            <w:tcW w:w="1440" w:type="dxa"/>
          </w:tcPr>
          <w:p w14:paraId="3F1F9756" w14:textId="42963F6A" w:rsidR="00933173" w:rsidRPr="00977FA5" w:rsidRDefault="00AE01E6" w:rsidP="003E4A92">
            <w:pPr>
              <w:pStyle w:val="FormFieldCaption"/>
              <w:spacing w:before="20" w:after="20"/>
              <w:jc w:val="center"/>
              <w:rPr>
                <w:sz w:val="22"/>
                <w:szCs w:val="22"/>
              </w:rPr>
            </w:pPr>
            <w:r>
              <w:rPr>
                <w:sz w:val="22"/>
                <w:szCs w:val="22"/>
              </w:rPr>
              <w:t>1994-95</w:t>
            </w:r>
          </w:p>
        </w:tc>
        <w:tc>
          <w:tcPr>
            <w:tcW w:w="2592" w:type="dxa"/>
          </w:tcPr>
          <w:p w14:paraId="4D6D5595" w14:textId="190BA4BF" w:rsidR="00933173" w:rsidRPr="00977FA5" w:rsidRDefault="00AE01E6" w:rsidP="00ED35D7">
            <w:pPr>
              <w:pStyle w:val="FormFieldCaption"/>
              <w:spacing w:before="20" w:after="20"/>
              <w:rPr>
                <w:sz w:val="22"/>
                <w:szCs w:val="22"/>
              </w:rPr>
            </w:pPr>
            <w:r>
              <w:rPr>
                <w:sz w:val="22"/>
                <w:szCs w:val="22"/>
              </w:rPr>
              <w:t>Cell Biology</w:t>
            </w:r>
          </w:p>
        </w:tc>
      </w:tr>
    </w:tbl>
    <w:p w14:paraId="6FC868BE" w14:textId="735E875D" w:rsidR="009E52CA" w:rsidRDefault="009E52CA">
      <w:pPr>
        <w:pStyle w:val="DataField11pt-Single"/>
      </w:pPr>
    </w:p>
    <w:p w14:paraId="790EB491" w14:textId="7D321153" w:rsidR="007C6B03" w:rsidRPr="009E7531" w:rsidRDefault="0027606E" w:rsidP="0027606E">
      <w:pPr>
        <w:pStyle w:val="DataField11pt-Single"/>
        <w:outlineLvl w:val="0"/>
        <w:rPr>
          <w:b/>
        </w:rPr>
      </w:pPr>
      <w:r w:rsidRPr="0033494B">
        <w:rPr>
          <w:b/>
        </w:rPr>
        <w:t>A.</w:t>
      </w:r>
      <w:r w:rsidRPr="0033494B">
        <w:rPr>
          <w:b/>
        </w:rPr>
        <w:tab/>
        <w:t>Personal Statement</w:t>
      </w:r>
      <w:r w:rsidR="007C6B03">
        <w:rPr>
          <w:b/>
        </w:rPr>
        <w:t xml:space="preserve">:  </w:t>
      </w:r>
      <w:r w:rsidRPr="004013E1">
        <w:rPr>
          <w:szCs w:val="22"/>
        </w:rPr>
        <w:t xml:space="preserve">Since 1995, my laboratory has focused on defining biochemical factors and biochemical/biophysical mechanisms controlling cancer, the cell cycle, centrosome trafficking, mitosis, and most recently the primary cilium, ciliopathies, and </w:t>
      </w:r>
      <w:r w:rsidR="007563DE">
        <w:rPr>
          <w:szCs w:val="22"/>
        </w:rPr>
        <w:t>tissue regeneration.  M</w:t>
      </w:r>
      <w:r w:rsidRPr="004013E1">
        <w:rPr>
          <w:szCs w:val="22"/>
        </w:rPr>
        <w:t>y lab established the role of cyclin/Cdk kinases and E3 ubiquitin ligases in DNA replication initiation, in the centrosome duplication cycle, and we discovered Emi1, a new inhibitor of the Anaphase Promoting Complex E3 ubiquitin ligase.  In 2007, we published the purification and proteomic and functional characterization of the BBSome, a complex composed of multiple disease proteins in Bardet-Biedl syndrom</w:t>
      </w:r>
      <w:r w:rsidR="007563DE">
        <w:rPr>
          <w:szCs w:val="22"/>
        </w:rPr>
        <w:t xml:space="preserve">e [Cell 2007], providing a </w:t>
      </w:r>
      <w:r w:rsidRPr="004013E1">
        <w:rPr>
          <w:szCs w:val="22"/>
        </w:rPr>
        <w:t xml:space="preserve">consolidated explanation for </w:t>
      </w:r>
      <w:r>
        <w:rPr>
          <w:szCs w:val="22"/>
        </w:rPr>
        <w:t xml:space="preserve">the disease, </w:t>
      </w:r>
      <w:r w:rsidRPr="004013E1">
        <w:rPr>
          <w:szCs w:val="22"/>
        </w:rPr>
        <w:t xml:space="preserve">explaining GPCR trafficking into cilia and </w:t>
      </w:r>
      <w:r w:rsidR="007563DE">
        <w:rPr>
          <w:szCs w:val="22"/>
        </w:rPr>
        <w:t>ciliary assembly</w:t>
      </w:r>
      <w:r w:rsidRPr="004013E1">
        <w:rPr>
          <w:szCs w:val="22"/>
        </w:rPr>
        <w:t xml:space="preserve"> via the Rab11-Rab8 pathway [PNAS 2011].  To facilita</w:t>
      </w:r>
      <w:r>
        <w:rPr>
          <w:szCs w:val="22"/>
        </w:rPr>
        <w:t xml:space="preserve">te our </w:t>
      </w:r>
      <w:r w:rsidR="007563DE">
        <w:rPr>
          <w:szCs w:val="22"/>
        </w:rPr>
        <w:t>proteomics</w:t>
      </w:r>
      <w:r w:rsidRPr="004013E1">
        <w:rPr>
          <w:szCs w:val="22"/>
        </w:rPr>
        <w:t>, we created a Gateway re</w:t>
      </w:r>
      <w:r w:rsidR="007563DE">
        <w:rPr>
          <w:szCs w:val="22"/>
        </w:rPr>
        <w:t>combination-based system</w:t>
      </w:r>
      <w:r w:rsidRPr="004013E1">
        <w:rPr>
          <w:szCs w:val="22"/>
        </w:rPr>
        <w:t xml:space="preserve"> for constructing shuttle vectors and engineering stable cell lines for high </w:t>
      </w:r>
      <w:r>
        <w:rPr>
          <w:szCs w:val="22"/>
        </w:rPr>
        <w:t xml:space="preserve">throughput proteomics, </w:t>
      </w:r>
      <w:r w:rsidR="007563DE">
        <w:rPr>
          <w:szCs w:val="22"/>
        </w:rPr>
        <w:t xml:space="preserve">now used by </w:t>
      </w:r>
      <w:r w:rsidRPr="004013E1">
        <w:rPr>
          <w:szCs w:val="22"/>
        </w:rPr>
        <w:t>labs worldwide.  Using this system</w:t>
      </w:r>
      <w:r>
        <w:rPr>
          <w:szCs w:val="22"/>
        </w:rPr>
        <w:t>,</w:t>
      </w:r>
      <w:r w:rsidRPr="004013E1">
        <w:rPr>
          <w:szCs w:val="22"/>
        </w:rPr>
        <w:t xml:space="preserve"> we published the first comprehensive analysis of the nephronophthisis/Joubert/ Meckel-Gruber disease cluster [Cell 2011], and connected this system to new trafficking pathways for myristoylated and farnesylated protein [</w:t>
      </w:r>
      <w:r w:rsidRPr="004013E1">
        <w:rPr>
          <w:i/>
          <w:szCs w:val="22"/>
        </w:rPr>
        <w:t>G&amp;D</w:t>
      </w:r>
      <w:r w:rsidRPr="004013E1">
        <w:rPr>
          <w:szCs w:val="22"/>
        </w:rPr>
        <w:t>, 2013], Sonic Hedgehog signaling [Cell 2013] and tis</w:t>
      </w:r>
      <w:r>
        <w:rPr>
          <w:szCs w:val="22"/>
        </w:rPr>
        <w:t>sue regeneration</w:t>
      </w:r>
      <w:r w:rsidR="007563DE">
        <w:rPr>
          <w:szCs w:val="22"/>
        </w:rPr>
        <w:t>.  W</w:t>
      </w:r>
      <w:r w:rsidRPr="004013E1">
        <w:rPr>
          <w:szCs w:val="22"/>
        </w:rPr>
        <w:t>e discovered the mechanism explaining the Tubby/Tulp3 family of proteins, coupling GPCR trafficking into cilia to intraflagellar transport [</w:t>
      </w:r>
      <w:r w:rsidRPr="004013E1">
        <w:rPr>
          <w:i/>
          <w:szCs w:val="22"/>
        </w:rPr>
        <w:t>G&amp;D</w:t>
      </w:r>
      <w:r>
        <w:rPr>
          <w:szCs w:val="22"/>
        </w:rPr>
        <w:t>, 2011].  O</w:t>
      </w:r>
      <w:r w:rsidRPr="004013E1">
        <w:rPr>
          <w:szCs w:val="22"/>
        </w:rPr>
        <w:t xml:space="preserve">ur explanation of the Tubby and BBS pathways </w:t>
      </w:r>
      <w:r>
        <w:rPr>
          <w:szCs w:val="22"/>
        </w:rPr>
        <w:t>provi</w:t>
      </w:r>
      <w:r w:rsidR="007563DE">
        <w:rPr>
          <w:szCs w:val="22"/>
        </w:rPr>
        <w:t>ded key criteria to discover new</w:t>
      </w:r>
      <w:r w:rsidRPr="004013E1">
        <w:rPr>
          <w:szCs w:val="22"/>
        </w:rPr>
        <w:t xml:space="preserve"> GPCRs trafficking to cilia, </w:t>
      </w:r>
      <w:r>
        <w:rPr>
          <w:szCs w:val="22"/>
        </w:rPr>
        <w:t xml:space="preserve">and the discovery of </w:t>
      </w:r>
      <w:r w:rsidRPr="004013E1">
        <w:rPr>
          <w:szCs w:val="22"/>
        </w:rPr>
        <w:t>GPR161, a new GPCR regulating the Sonic Hedgehog pathway [Cell 2013</w:t>
      </w:r>
      <w:r w:rsidR="007563DE">
        <w:rPr>
          <w:szCs w:val="22"/>
        </w:rPr>
        <w:t>] and GPCRs regulating satiety</w:t>
      </w:r>
      <w:r w:rsidRPr="004013E1">
        <w:rPr>
          <w:szCs w:val="22"/>
        </w:rPr>
        <w:t>/</w:t>
      </w:r>
      <w:r>
        <w:rPr>
          <w:szCs w:val="22"/>
        </w:rPr>
        <w:t>obesity</w:t>
      </w:r>
      <w:r w:rsidRPr="004013E1">
        <w:rPr>
          <w:szCs w:val="22"/>
        </w:rPr>
        <w:t xml:space="preserve"> [Cell Reports 2013].  </w:t>
      </w:r>
      <w:r>
        <w:rPr>
          <w:szCs w:val="22"/>
        </w:rPr>
        <w:t xml:space="preserve">These studies on monogenic ciliopathy and obesity genes provided key </w:t>
      </w:r>
      <w:r w:rsidR="007563DE">
        <w:rPr>
          <w:szCs w:val="22"/>
        </w:rPr>
        <w:t xml:space="preserve">insight and methods </w:t>
      </w:r>
      <w:r>
        <w:rPr>
          <w:szCs w:val="22"/>
        </w:rPr>
        <w:t>to understand and pursue understanding of more complex genetic mechanisms, inclu</w:t>
      </w:r>
      <w:r w:rsidR="007563DE">
        <w:rPr>
          <w:szCs w:val="22"/>
        </w:rPr>
        <w:t xml:space="preserve">ding somatic mutations </w:t>
      </w:r>
      <w:r>
        <w:rPr>
          <w:szCs w:val="22"/>
        </w:rPr>
        <w:t xml:space="preserve">in cancer. I have continued to have strong focus on cancer signaling pathways leading back to my graduate work with David Baltimore on the Abl tyrosine kinase, my postdoctoral work with Marc Kirschner on cyclin regulation and cell cycle, and my own work at Stanford linking cancer to E3 ubiquitin ligase pathways.  At Genentech for eight years, I pursued the identification and validation of drug targets for cancer, including cell cycle programs, tumor metabolism, stress pathways, epigenetics and the KRAS pathway.  My group published the first KRAS chemical inhibitor (PNAS 2012) and we had a variety of papers on inhibitors of p97/VCP, Chk1, NAMPT, and LDHA targets.  </w:t>
      </w:r>
      <w:r w:rsidR="00384824">
        <w:rPr>
          <w:szCs w:val="22"/>
        </w:rPr>
        <w:t>I am now applying my network methods to mapping the complex drivers of cancer and to further connecting ciliopathies and poorly understood human genetic lesions to cell biological and biochemical pathways.</w:t>
      </w:r>
    </w:p>
    <w:p w14:paraId="303DD8D1" w14:textId="3E4D32F6" w:rsidR="0027606E" w:rsidRPr="007563DE" w:rsidRDefault="0027606E" w:rsidP="007563DE">
      <w:pPr>
        <w:pStyle w:val="DataField11pt-Single"/>
        <w:outlineLvl w:val="0"/>
        <w:rPr>
          <w:b/>
          <w:szCs w:val="22"/>
        </w:rPr>
      </w:pPr>
      <w:r w:rsidRPr="009F57D4">
        <w:rPr>
          <w:b/>
          <w:szCs w:val="22"/>
        </w:rPr>
        <w:t>B.</w:t>
      </w:r>
      <w:r w:rsidRPr="009F57D4">
        <w:rPr>
          <w:b/>
          <w:szCs w:val="22"/>
        </w:rPr>
        <w:tab/>
        <w:t>Positions and Honors</w:t>
      </w:r>
    </w:p>
    <w:p w14:paraId="4FB3851E" w14:textId="77777777" w:rsidR="0027606E" w:rsidRPr="004168C3" w:rsidRDefault="0027606E" w:rsidP="0027606E">
      <w:pPr>
        <w:pStyle w:val="DataField11pt-Single"/>
        <w:ind w:left="1440" w:hanging="1440"/>
        <w:outlineLvl w:val="0"/>
        <w:rPr>
          <w:szCs w:val="22"/>
          <w:u w:val="single"/>
        </w:rPr>
      </w:pPr>
      <w:r w:rsidRPr="004168C3">
        <w:rPr>
          <w:szCs w:val="22"/>
          <w:u w:val="single"/>
        </w:rPr>
        <w:t>Positions and Employment</w:t>
      </w:r>
    </w:p>
    <w:p w14:paraId="3506BCC5" w14:textId="77777777" w:rsidR="0027606E" w:rsidRDefault="0027606E" w:rsidP="0027606E">
      <w:pPr>
        <w:pStyle w:val="DataField11pt-Single"/>
        <w:tabs>
          <w:tab w:val="left" w:pos="1440"/>
        </w:tabs>
        <w:ind w:left="1440" w:hanging="1440"/>
        <w:rPr>
          <w:szCs w:val="22"/>
        </w:rPr>
      </w:pPr>
      <w:r>
        <w:rPr>
          <w:szCs w:val="22"/>
        </w:rPr>
        <w:t>1985-1991</w:t>
      </w:r>
      <w:r>
        <w:rPr>
          <w:szCs w:val="22"/>
        </w:rPr>
        <w:tab/>
      </w:r>
      <w:r>
        <w:rPr>
          <w:szCs w:val="22"/>
        </w:rPr>
        <w:tab/>
        <w:t>Graduate Student, laboratory of David Baltimore.  Studies on the Abl tyrosine kinase.</w:t>
      </w:r>
    </w:p>
    <w:p w14:paraId="5E84A87B" w14:textId="77777777" w:rsidR="0027606E" w:rsidRDefault="0027606E" w:rsidP="0027606E">
      <w:pPr>
        <w:pStyle w:val="DataField11pt-Single"/>
        <w:tabs>
          <w:tab w:val="left" w:pos="1440"/>
        </w:tabs>
        <w:ind w:left="1440" w:hanging="1440"/>
        <w:rPr>
          <w:szCs w:val="22"/>
        </w:rPr>
      </w:pPr>
      <w:r>
        <w:rPr>
          <w:szCs w:val="22"/>
        </w:rPr>
        <w:lastRenderedPageBreak/>
        <w:t>1991-1995</w:t>
      </w:r>
      <w:r>
        <w:rPr>
          <w:szCs w:val="22"/>
        </w:rPr>
        <w:tab/>
      </w:r>
      <w:r>
        <w:rPr>
          <w:szCs w:val="22"/>
        </w:rPr>
        <w:tab/>
        <w:t>Postdoctoral Fellow, laboratory of Marc Kirschner.  Studies in Cell Cycle &amp; DNA replication.</w:t>
      </w:r>
    </w:p>
    <w:p w14:paraId="22406B80" w14:textId="77777777" w:rsidR="0027606E" w:rsidRDefault="0027606E" w:rsidP="0027606E">
      <w:pPr>
        <w:pStyle w:val="DataField11pt-Single"/>
        <w:tabs>
          <w:tab w:val="left" w:pos="1440"/>
        </w:tabs>
        <w:ind w:left="1800" w:hanging="1800"/>
        <w:rPr>
          <w:szCs w:val="22"/>
        </w:rPr>
      </w:pPr>
      <w:r>
        <w:rPr>
          <w:szCs w:val="22"/>
        </w:rPr>
        <w:t>1995-2000</w:t>
      </w:r>
      <w:r>
        <w:rPr>
          <w:szCs w:val="22"/>
        </w:rPr>
        <w:tab/>
      </w:r>
      <w:r>
        <w:rPr>
          <w:szCs w:val="22"/>
        </w:rPr>
        <w:tab/>
        <w:t>Assistant Professor, Departments of Pathology and Microbiology &amp; Immunology, Stanford University, Stanford, CA</w:t>
      </w:r>
    </w:p>
    <w:p w14:paraId="1C68C7CC" w14:textId="77777777" w:rsidR="0027606E" w:rsidRDefault="0027606E" w:rsidP="0027606E">
      <w:pPr>
        <w:pStyle w:val="DataField11pt-Single"/>
        <w:tabs>
          <w:tab w:val="left" w:pos="1440"/>
        </w:tabs>
        <w:ind w:left="1440" w:hanging="1440"/>
        <w:rPr>
          <w:szCs w:val="22"/>
        </w:rPr>
      </w:pPr>
      <w:r>
        <w:rPr>
          <w:szCs w:val="22"/>
        </w:rPr>
        <w:t>2001-2005</w:t>
      </w:r>
      <w:r>
        <w:rPr>
          <w:szCs w:val="22"/>
        </w:rPr>
        <w:tab/>
      </w:r>
      <w:r>
        <w:rPr>
          <w:szCs w:val="22"/>
        </w:rPr>
        <w:tab/>
        <w:t>Associate Professor, Stanford University School of Medicine, Stanford, CA</w:t>
      </w:r>
    </w:p>
    <w:p w14:paraId="7AC59CB8" w14:textId="77777777" w:rsidR="0027606E" w:rsidRDefault="0027606E" w:rsidP="0027606E">
      <w:pPr>
        <w:pStyle w:val="DataField11pt-Single"/>
        <w:tabs>
          <w:tab w:val="left" w:pos="1440"/>
        </w:tabs>
        <w:ind w:left="1440" w:hanging="1440"/>
        <w:rPr>
          <w:szCs w:val="22"/>
        </w:rPr>
      </w:pPr>
      <w:r>
        <w:rPr>
          <w:szCs w:val="22"/>
        </w:rPr>
        <w:t>2005-2013</w:t>
      </w:r>
      <w:r>
        <w:rPr>
          <w:szCs w:val="22"/>
        </w:rPr>
        <w:tab/>
      </w:r>
      <w:r>
        <w:rPr>
          <w:szCs w:val="22"/>
        </w:rPr>
        <w:tab/>
        <w:t>Staff Scientist &amp; Director, Genentech, Inc. (on leave from Stanford until 2011)</w:t>
      </w:r>
    </w:p>
    <w:p w14:paraId="0A1A4738" w14:textId="77777777" w:rsidR="0027606E" w:rsidRDefault="0027606E" w:rsidP="0027606E">
      <w:pPr>
        <w:pStyle w:val="DataField11pt-Single"/>
        <w:tabs>
          <w:tab w:val="left" w:pos="1440"/>
        </w:tabs>
        <w:ind w:left="1440" w:hanging="1440"/>
        <w:rPr>
          <w:szCs w:val="22"/>
        </w:rPr>
      </w:pPr>
      <w:r>
        <w:rPr>
          <w:szCs w:val="22"/>
        </w:rPr>
        <w:t>2013</w:t>
      </w:r>
      <w:r>
        <w:rPr>
          <w:szCs w:val="22"/>
        </w:rPr>
        <w:tab/>
      </w:r>
      <w:r>
        <w:rPr>
          <w:szCs w:val="22"/>
        </w:rPr>
        <w:tab/>
        <w:t>Professor, Stanford University</w:t>
      </w:r>
    </w:p>
    <w:p w14:paraId="2D2AD2F0" w14:textId="77777777" w:rsidR="0027606E" w:rsidRDefault="0027606E" w:rsidP="0027606E">
      <w:pPr>
        <w:pStyle w:val="DataField11pt-Single"/>
        <w:tabs>
          <w:tab w:val="left" w:pos="1440"/>
        </w:tabs>
        <w:ind w:left="1440" w:hanging="1440"/>
        <w:rPr>
          <w:szCs w:val="22"/>
        </w:rPr>
      </w:pPr>
      <w:r>
        <w:rPr>
          <w:szCs w:val="22"/>
        </w:rPr>
        <w:tab/>
      </w:r>
      <w:r>
        <w:rPr>
          <w:szCs w:val="22"/>
        </w:rPr>
        <w:tab/>
        <w:t>Fellow, Stanford Cancer Center, Stanford Chemistry, Engineering and Medicine Institute</w:t>
      </w:r>
    </w:p>
    <w:p w14:paraId="7853FCEF" w14:textId="1A4D67CA" w:rsidR="0027606E" w:rsidRDefault="0027606E" w:rsidP="009E7531">
      <w:pPr>
        <w:pStyle w:val="DataField11pt-Single"/>
        <w:tabs>
          <w:tab w:val="left" w:pos="1440"/>
        </w:tabs>
        <w:ind w:left="1440" w:hanging="1440"/>
        <w:rPr>
          <w:szCs w:val="22"/>
        </w:rPr>
      </w:pPr>
      <w:r>
        <w:rPr>
          <w:szCs w:val="22"/>
        </w:rPr>
        <w:tab/>
      </w:r>
      <w:r>
        <w:rPr>
          <w:szCs w:val="22"/>
        </w:rPr>
        <w:tab/>
        <w:t>Director of Proteomics, Stanford University and Stanford Cancer Center</w:t>
      </w:r>
    </w:p>
    <w:p w14:paraId="491B4EB7" w14:textId="77777777" w:rsidR="0027606E" w:rsidRPr="004168C3" w:rsidRDefault="0027606E" w:rsidP="0027606E">
      <w:pPr>
        <w:pStyle w:val="DataField11pt-Single"/>
        <w:ind w:left="1440" w:hanging="1440"/>
        <w:outlineLvl w:val="0"/>
        <w:rPr>
          <w:b/>
          <w:szCs w:val="22"/>
          <w:u w:val="single"/>
        </w:rPr>
      </w:pPr>
      <w:r w:rsidRPr="004168C3">
        <w:rPr>
          <w:b/>
          <w:szCs w:val="22"/>
          <w:u w:val="single"/>
        </w:rPr>
        <w:t>Honors and Awards</w:t>
      </w:r>
    </w:p>
    <w:p w14:paraId="37A79FEB" w14:textId="77777777" w:rsidR="0027606E" w:rsidRDefault="0027606E" w:rsidP="0027606E">
      <w:pPr>
        <w:pStyle w:val="DataField11pt-Single"/>
        <w:ind w:left="1440" w:hanging="1440"/>
        <w:rPr>
          <w:szCs w:val="22"/>
        </w:rPr>
      </w:pPr>
      <w:r>
        <w:rPr>
          <w:szCs w:val="22"/>
        </w:rPr>
        <w:t>1978-1982</w:t>
      </w:r>
      <w:r>
        <w:rPr>
          <w:szCs w:val="22"/>
        </w:rPr>
        <w:tab/>
      </w:r>
      <w:r>
        <w:rPr>
          <w:szCs w:val="22"/>
        </w:rPr>
        <w:tab/>
        <w:t>National Merit Scholar, Yale College</w:t>
      </w:r>
    </w:p>
    <w:p w14:paraId="34AEC141" w14:textId="77777777" w:rsidR="0027606E" w:rsidRDefault="0027606E" w:rsidP="0027606E">
      <w:pPr>
        <w:pStyle w:val="DataField11pt-Single"/>
        <w:ind w:left="1440" w:hanging="1440"/>
        <w:rPr>
          <w:szCs w:val="22"/>
        </w:rPr>
      </w:pPr>
      <w:r>
        <w:rPr>
          <w:szCs w:val="22"/>
        </w:rPr>
        <w:t>1983</w:t>
      </w:r>
      <w:r>
        <w:rPr>
          <w:szCs w:val="22"/>
        </w:rPr>
        <w:tab/>
      </w:r>
      <w:r>
        <w:rPr>
          <w:szCs w:val="22"/>
        </w:rPr>
        <w:tab/>
        <w:t>Luce Scholar Finalist</w:t>
      </w:r>
    </w:p>
    <w:p w14:paraId="2F38AE03" w14:textId="77777777" w:rsidR="0027606E" w:rsidRDefault="0027606E" w:rsidP="0027606E">
      <w:pPr>
        <w:pStyle w:val="DataField11pt-Single"/>
        <w:ind w:left="1440" w:hanging="1440"/>
        <w:rPr>
          <w:szCs w:val="22"/>
        </w:rPr>
      </w:pPr>
      <w:r>
        <w:rPr>
          <w:szCs w:val="22"/>
        </w:rPr>
        <w:t>1991-1994</w:t>
      </w:r>
      <w:r>
        <w:rPr>
          <w:szCs w:val="22"/>
        </w:rPr>
        <w:tab/>
      </w:r>
      <w:r>
        <w:rPr>
          <w:szCs w:val="22"/>
        </w:rPr>
        <w:tab/>
        <w:t>Merck Fellow of the Life Sciences Research Foundation</w:t>
      </w:r>
    </w:p>
    <w:p w14:paraId="2C7862F0" w14:textId="77777777" w:rsidR="0027606E" w:rsidRDefault="0027606E" w:rsidP="0027606E">
      <w:pPr>
        <w:pStyle w:val="DataField11pt-Single"/>
        <w:ind w:left="1440" w:hanging="1440"/>
        <w:rPr>
          <w:szCs w:val="22"/>
        </w:rPr>
      </w:pPr>
      <w:r>
        <w:rPr>
          <w:szCs w:val="22"/>
        </w:rPr>
        <w:t>1996</w:t>
      </w:r>
      <w:r>
        <w:rPr>
          <w:szCs w:val="22"/>
        </w:rPr>
        <w:tab/>
      </w:r>
      <w:r>
        <w:rPr>
          <w:szCs w:val="22"/>
        </w:rPr>
        <w:tab/>
        <w:t>Baxter Foundation Scholar Award</w:t>
      </w:r>
    </w:p>
    <w:p w14:paraId="21784D5B" w14:textId="77777777" w:rsidR="0027606E" w:rsidRDefault="0027606E" w:rsidP="0027606E">
      <w:pPr>
        <w:pStyle w:val="DataField11pt-Single"/>
        <w:ind w:left="1440" w:hanging="1440"/>
        <w:rPr>
          <w:szCs w:val="22"/>
        </w:rPr>
      </w:pPr>
      <w:r>
        <w:rPr>
          <w:szCs w:val="22"/>
        </w:rPr>
        <w:t>1996</w:t>
      </w:r>
      <w:r>
        <w:rPr>
          <w:szCs w:val="22"/>
        </w:rPr>
        <w:tab/>
      </w:r>
      <w:r>
        <w:rPr>
          <w:szCs w:val="22"/>
        </w:rPr>
        <w:tab/>
        <w:t>Howard Hughes Medical Institute Junior Investigator Award</w:t>
      </w:r>
    </w:p>
    <w:p w14:paraId="1F3C706E" w14:textId="77777777" w:rsidR="0027606E" w:rsidRDefault="0027606E" w:rsidP="0027606E">
      <w:pPr>
        <w:pStyle w:val="DataField11pt-Single"/>
        <w:ind w:left="1440" w:hanging="1440"/>
        <w:rPr>
          <w:szCs w:val="22"/>
        </w:rPr>
      </w:pPr>
      <w:r>
        <w:rPr>
          <w:szCs w:val="22"/>
        </w:rPr>
        <w:t>1997</w:t>
      </w:r>
      <w:r>
        <w:rPr>
          <w:szCs w:val="22"/>
        </w:rPr>
        <w:tab/>
      </w:r>
      <w:r>
        <w:rPr>
          <w:szCs w:val="22"/>
        </w:rPr>
        <w:tab/>
        <w:t>Luetje-Stubbs Faculty Scholar Award</w:t>
      </w:r>
    </w:p>
    <w:p w14:paraId="6CB1F3AA" w14:textId="77777777" w:rsidR="0027606E" w:rsidRDefault="0027606E" w:rsidP="0027606E">
      <w:pPr>
        <w:pStyle w:val="DataField11pt-Single"/>
        <w:ind w:left="1440" w:hanging="1440"/>
        <w:rPr>
          <w:szCs w:val="22"/>
        </w:rPr>
      </w:pPr>
      <w:r>
        <w:rPr>
          <w:szCs w:val="22"/>
        </w:rPr>
        <w:t>1998</w:t>
      </w:r>
      <w:r>
        <w:rPr>
          <w:szCs w:val="22"/>
        </w:rPr>
        <w:tab/>
      </w:r>
      <w:r>
        <w:rPr>
          <w:szCs w:val="22"/>
        </w:rPr>
        <w:tab/>
        <w:t>Stanford Cancer Council Award</w:t>
      </w:r>
    </w:p>
    <w:p w14:paraId="01DDBA72" w14:textId="77777777" w:rsidR="0027606E" w:rsidRDefault="0027606E" w:rsidP="0027606E">
      <w:pPr>
        <w:pStyle w:val="DataField11pt-Single"/>
        <w:ind w:left="1440" w:hanging="1440"/>
        <w:rPr>
          <w:szCs w:val="22"/>
        </w:rPr>
      </w:pPr>
      <w:r>
        <w:rPr>
          <w:szCs w:val="22"/>
        </w:rPr>
        <w:t>1999</w:t>
      </w:r>
      <w:r>
        <w:rPr>
          <w:szCs w:val="22"/>
        </w:rPr>
        <w:tab/>
      </w:r>
      <w:r>
        <w:rPr>
          <w:szCs w:val="22"/>
        </w:rPr>
        <w:tab/>
        <w:t>W.T. Cohen Memorial Lecture, Dana-Farber Cancer Institute</w:t>
      </w:r>
    </w:p>
    <w:p w14:paraId="32465A4B" w14:textId="77777777" w:rsidR="0027606E" w:rsidRDefault="0027606E" w:rsidP="0027606E">
      <w:pPr>
        <w:pStyle w:val="DataField11pt-Single"/>
        <w:ind w:left="1440" w:hanging="1440"/>
        <w:rPr>
          <w:szCs w:val="22"/>
        </w:rPr>
      </w:pPr>
      <w:r>
        <w:rPr>
          <w:szCs w:val="22"/>
        </w:rPr>
        <w:t>1999</w:t>
      </w:r>
      <w:r>
        <w:rPr>
          <w:szCs w:val="22"/>
        </w:rPr>
        <w:tab/>
      </w:r>
      <w:r>
        <w:rPr>
          <w:szCs w:val="22"/>
        </w:rPr>
        <w:tab/>
        <w:t>Hume Faculty Scholar Award</w:t>
      </w:r>
    </w:p>
    <w:p w14:paraId="5002AF89" w14:textId="77777777" w:rsidR="0027606E" w:rsidRDefault="0027606E" w:rsidP="0027606E">
      <w:pPr>
        <w:pStyle w:val="DataField11pt-Single"/>
        <w:ind w:left="1440" w:hanging="1440"/>
        <w:rPr>
          <w:szCs w:val="22"/>
        </w:rPr>
      </w:pPr>
      <w:r>
        <w:rPr>
          <w:szCs w:val="22"/>
        </w:rPr>
        <w:t>2002</w:t>
      </w:r>
      <w:r>
        <w:rPr>
          <w:szCs w:val="22"/>
        </w:rPr>
        <w:tab/>
      </w:r>
      <w:r>
        <w:rPr>
          <w:szCs w:val="22"/>
        </w:rPr>
        <w:tab/>
        <w:t>Kirsch Scholar</w:t>
      </w:r>
    </w:p>
    <w:p w14:paraId="121505C5" w14:textId="77777777" w:rsidR="0027606E" w:rsidRDefault="0027606E" w:rsidP="0027606E">
      <w:pPr>
        <w:pStyle w:val="DataField11pt-Single"/>
        <w:ind w:left="1440" w:hanging="1440"/>
        <w:rPr>
          <w:szCs w:val="22"/>
        </w:rPr>
      </w:pPr>
      <w:r>
        <w:rPr>
          <w:szCs w:val="22"/>
        </w:rPr>
        <w:t>2005</w:t>
      </w:r>
      <w:r>
        <w:rPr>
          <w:szCs w:val="22"/>
        </w:rPr>
        <w:tab/>
      </w:r>
      <w:r>
        <w:rPr>
          <w:szCs w:val="22"/>
        </w:rPr>
        <w:tab/>
        <w:t>Elected Pluto Society (Research Pathology)</w:t>
      </w:r>
    </w:p>
    <w:p w14:paraId="4B8B18BA" w14:textId="77777777" w:rsidR="0027606E" w:rsidRDefault="0027606E" w:rsidP="0027606E">
      <w:pPr>
        <w:pStyle w:val="DataField11pt-Single"/>
        <w:ind w:left="1440" w:hanging="1440"/>
        <w:rPr>
          <w:szCs w:val="22"/>
        </w:rPr>
      </w:pPr>
      <w:r>
        <w:rPr>
          <w:szCs w:val="22"/>
        </w:rPr>
        <w:t>2007</w:t>
      </w:r>
      <w:r>
        <w:rPr>
          <w:szCs w:val="22"/>
        </w:rPr>
        <w:tab/>
      </w:r>
      <w:r>
        <w:rPr>
          <w:szCs w:val="22"/>
        </w:rPr>
        <w:tab/>
        <w:t>Eppley Visiting Professor of Oncology, U. Nebraska Medical School</w:t>
      </w:r>
    </w:p>
    <w:p w14:paraId="32408052" w14:textId="77777777" w:rsidR="0027606E" w:rsidRDefault="0027606E" w:rsidP="0027606E">
      <w:pPr>
        <w:pStyle w:val="DataField11pt-Single"/>
        <w:ind w:left="1440" w:hanging="1440"/>
        <w:rPr>
          <w:szCs w:val="22"/>
        </w:rPr>
      </w:pPr>
      <w:r>
        <w:rPr>
          <w:szCs w:val="22"/>
        </w:rPr>
        <w:t>2008</w:t>
      </w:r>
      <w:r>
        <w:rPr>
          <w:szCs w:val="22"/>
        </w:rPr>
        <w:tab/>
      </w:r>
      <w:r>
        <w:rPr>
          <w:szCs w:val="22"/>
        </w:rPr>
        <w:tab/>
        <w:t>Advisor, Cancer Prevention and Research Institute of Texas (CPRIT)</w:t>
      </w:r>
    </w:p>
    <w:p w14:paraId="6F87A114" w14:textId="77777777" w:rsidR="0027606E" w:rsidRDefault="0027606E" w:rsidP="0027606E">
      <w:pPr>
        <w:pStyle w:val="DataField11pt-Single"/>
        <w:ind w:left="1440" w:hanging="1440"/>
        <w:rPr>
          <w:szCs w:val="22"/>
        </w:rPr>
      </w:pPr>
      <w:r>
        <w:rPr>
          <w:szCs w:val="22"/>
        </w:rPr>
        <w:t>2009</w:t>
      </w:r>
      <w:r>
        <w:rPr>
          <w:szCs w:val="22"/>
        </w:rPr>
        <w:tab/>
      </w:r>
      <w:r>
        <w:rPr>
          <w:szCs w:val="22"/>
        </w:rPr>
        <w:tab/>
        <w:t>Elected AAAS Fellow</w:t>
      </w:r>
    </w:p>
    <w:p w14:paraId="413B6D8F" w14:textId="77777777" w:rsidR="0027606E" w:rsidRDefault="0027606E" w:rsidP="0027606E">
      <w:pPr>
        <w:pStyle w:val="DataField11pt-Single"/>
        <w:ind w:left="1440" w:hanging="1440"/>
        <w:rPr>
          <w:szCs w:val="22"/>
        </w:rPr>
      </w:pPr>
      <w:r>
        <w:rPr>
          <w:szCs w:val="22"/>
        </w:rPr>
        <w:t>2011</w:t>
      </w:r>
      <w:r>
        <w:rPr>
          <w:szCs w:val="22"/>
        </w:rPr>
        <w:tab/>
      </w:r>
      <w:r>
        <w:rPr>
          <w:szCs w:val="22"/>
        </w:rPr>
        <w:tab/>
        <w:t xml:space="preserve">Founding Editor-in-Chief, </w:t>
      </w:r>
      <w:r w:rsidRPr="00933168">
        <w:rPr>
          <w:i/>
          <w:szCs w:val="22"/>
        </w:rPr>
        <w:t>Cilia</w:t>
      </w:r>
      <w:r>
        <w:rPr>
          <w:szCs w:val="22"/>
        </w:rPr>
        <w:t>, BioMed Central</w:t>
      </w:r>
    </w:p>
    <w:p w14:paraId="1FE6D301" w14:textId="77777777" w:rsidR="0027606E" w:rsidRDefault="0027606E" w:rsidP="0027606E">
      <w:pPr>
        <w:pStyle w:val="DataField11pt-Single"/>
        <w:rPr>
          <w:szCs w:val="22"/>
        </w:rPr>
      </w:pPr>
      <w:r>
        <w:rPr>
          <w:szCs w:val="22"/>
        </w:rPr>
        <w:t>Various prizes, editorships, invited and keynote lectures, consultancies, boards, organizing committees for ASCB, AACR, Keystone meetings.  Over 350 public lectures from 1995-2014.</w:t>
      </w:r>
    </w:p>
    <w:p w14:paraId="75398ED9" w14:textId="77777777" w:rsidR="0027606E" w:rsidRDefault="0027606E" w:rsidP="0027606E">
      <w:pPr>
        <w:pStyle w:val="DataField11pt-Single"/>
        <w:rPr>
          <w:szCs w:val="22"/>
        </w:rPr>
      </w:pPr>
    </w:p>
    <w:p w14:paraId="2E827232" w14:textId="1D767D8F" w:rsidR="00FC5F9E" w:rsidRPr="007563DE" w:rsidRDefault="0027606E" w:rsidP="007563DE">
      <w:pPr>
        <w:pStyle w:val="DataField11pt-Single"/>
        <w:outlineLvl w:val="0"/>
        <w:rPr>
          <w:b/>
          <w:szCs w:val="22"/>
        </w:rPr>
      </w:pPr>
      <w:r w:rsidRPr="00F33AE5">
        <w:rPr>
          <w:b/>
          <w:szCs w:val="22"/>
        </w:rPr>
        <w:t>C.</w:t>
      </w:r>
      <w:r w:rsidRPr="00F33AE5">
        <w:rPr>
          <w:b/>
          <w:szCs w:val="22"/>
        </w:rPr>
        <w:tab/>
        <w:t>Contribution to Science</w:t>
      </w:r>
      <w:r w:rsidR="007563DE">
        <w:rPr>
          <w:b/>
          <w:szCs w:val="22"/>
        </w:rPr>
        <w:t xml:space="preserve">.  </w:t>
      </w:r>
      <w:r>
        <w:rPr>
          <w:szCs w:val="22"/>
        </w:rPr>
        <w:t xml:space="preserve">A complete list of </w:t>
      </w:r>
      <w:r w:rsidR="007C6B03">
        <w:rPr>
          <w:szCs w:val="22"/>
        </w:rPr>
        <w:t xml:space="preserve">132 </w:t>
      </w:r>
      <w:r w:rsidR="00384824">
        <w:rPr>
          <w:szCs w:val="22"/>
        </w:rPr>
        <w:t>publications</w:t>
      </w:r>
      <w:r w:rsidR="00E41D13">
        <w:rPr>
          <w:szCs w:val="22"/>
        </w:rPr>
        <w:t xml:space="preserve"> is listed here:</w:t>
      </w:r>
    </w:p>
    <w:p w14:paraId="6B40BB1E" w14:textId="77777777" w:rsidR="0027606E" w:rsidRDefault="00C943C4" w:rsidP="0027606E">
      <w:pPr>
        <w:pStyle w:val="DataField11pt-Single"/>
        <w:rPr>
          <w:color w:val="243778"/>
          <w:sz w:val="24"/>
          <w:u w:val="single" w:color="243778"/>
        </w:rPr>
      </w:pPr>
      <w:hyperlink r:id="rId10" w:history="1">
        <w:r w:rsidR="0027606E" w:rsidRPr="00D454A1">
          <w:rPr>
            <w:rStyle w:val="Hyperlink"/>
            <w:sz w:val="24"/>
            <w:u w:color="243778"/>
          </w:rPr>
          <w:t>http://www.ncbi.nlm.nih.gov/sites/myncbi/1NKKVe-Fm6iQF/bibliography/47841085/public/?sort=date&amp;direction=ascending</w:t>
        </w:r>
      </w:hyperlink>
    </w:p>
    <w:p w14:paraId="24A1650C" w14:textId="110BA000" w:rsidR="0027606E" w:rsidRDefault="0027606E" w:rsidP="00384824">
      <w:pPr>
        <w:pStyle w:val="DataField11pt-Single"/>
        <w:ind w:firstLine="360"/>
        <w:rPr>
          <w:color w:val="243778"/>
          <w:sz w:val="24"/>
          <w:u w:val="single" w:color="243778"/>
        </w:rPr>
      </w:pPr>
      <w:bookmarkStart w:id="0" w:name="_GoBack"/>
      <w:bookmarkEnd w:id="0"/>
      <w:r>
        <w:rPr>
          <w:color w:val="243778"/>
          <w:sz w:val="24"/>
          <w:u w:val="single" w:color="243778"/>
        </w:rPr>
        <w:t>The following narratives describe five investigative themes in my work and representat</w:t>
      </w:r>
      <w:r w:rsidR="007563DE">
        <w:rPr>
          <w:color w:val="243778"/>
          <w:sz w:val="24"/>
          <w:u w:val="single" w:color="243778"/>
        </w:rPr>
        <w:t>ive publications.</w:t>
      </w:r>
    </w:p>
    <w:p w14:paraId="5EAE4C68" w14:textId="77777777" w:rsidR="0027606E" w:rsidRPr="00BA7C8C" w:rsidRDefault="0027606E" w:rsidP="0027606E">
      <w:pPr>
        <w:outlineLvl w:val="0"/>
        <w:rPr>
          <w:rFonts w:cs="Arial"/>
          <w:szCs w:val="22"/>
        </w:rPr>
      </w:pPr>
    </w:p>
    <w:p w14:paraId="5FB623D2" w14:textId="77777777" w:rsidR="0027606E" w:rsidRPr="00542D8A" w:rsidRDefault="0027606E" w:rsidP="0027606E">
      <w:pPr>
        <w:rPr>
          <w:rFonts w:cs="Arial"/>
          <w:b/>
          <w:szCs w:val="22"/>
        </w:rPr>
      </w:pPr>
      <w:r w:rsidRPr="00542D8A">
        <w:rPr>
          <w:rFonts w:cs="Arial"/>
          <w:b/>
          <w:szCs w:val="22"/>
        </w:rPr>
        <w:t xml:space="preserve">1. </w:t>
      </w:r>
      <w:r>
        <w:rPr>
          <w:rFonts w:cs="Arial"/>
          <w:b/>
          <w:szCs w:val="22"/>
        </w:rPr>
        <w:t xml:space="preserve"> </w:t>
      </w:r>
      <w:r w:rsidRPr="00542D8A">
        <w:rPr>
          <w:rFonts w:cs="Arial"/>
          <w:b/>
          <w:szCs w:val="22"/>
        </w:rPr>
        <w:t>Regulation of the Abl tyrosine kinase by SH2 and SH3 domains:</w:t>
      </w:r>
      <w:r w:rsidRPr="00542D8A">
        <w:rPr>
          <w:rFonts w:cs="Arial"/>
          <w:szCs w:val="22"/>
        </w:rPr>
        <w:t xml:space="preserve">  In 1987, tyrosine kinases were known to be important regulators of transformation, but little was known about their regulation or substrate selection.  In my first paper, I found that mutations in what I called the SH3 domain activated the Abl tyrosine kinase to be</w:t>
      </w:r>
      <w:r>
        <w:rPr>
          <w:rFonts w:cs="Arial"/>
          <w:szCs w:val="22"/>
        </w:rPr>
        <w:t>come</w:t>
      </w:r>
      <w:r w:rsidRPr="00542D8A">
        <w:rPr>
          <w:rFonts w:cs="Arial"/>
          <w:szCs w:val="22"/>
        </w:rPr>
        <w:t xml:space="preserve"> transforming.  </w:t>
      </w:r>
      <w:r>
        <w:rPr>
          <w:rFonts w:cs="Arial"/>
          <w:szCs w:val="22"/>
        </w:rPr>
        <w:t>M</w:t>
      </w:r>
      <w:r w:rsidRPr="00542D8A">
        <w:rPr>
          <w:rFonts w:cs="Arial"/>
          <w:szCs w:val="22"/>
        </w:rPr>
        <w:t xml:space="preserve">utations in Src and other tyrosine kinases supported my model. </w:t>
      </w:r>
      <w:r>
        <w:rPr>
          <w:rFonts w:cs="Arial"/>
          <w:szCs w:val="22"/>
        </w:rPr>
        <w:t xml:space="preserve">I found that </w:t>
      </w:r>
      <w:r w:rsidRPr="00542D8A">
        <w:rPr>
          <w:rFonts w:cs="Arial"/>
          <w:szCs w:val="22"/>
        </w:rPr>
        <w:t>purified SH2 protein bound to phosphotyrosine (with Bru</w:t>
      </w:r>
      <w:r>
        <w:rPr>
          <w:rFonts w:cs="Arial"/>
          <w:szCs w:val="22"/>
        </w:rPr>
        <w:t>ce Mayer</w:t>
      </w:r>
      <w:r w:rsidRPr="00542D8A">
        <w:rPr>
          <w:rFonts w:cs="Arial"/>
          <w:szCs w:val="22"/>
        </w:rPr>
        <w:t>), and that mutations in SH2, in the context of the Abl oncogene, showed both loss of phosphotyrosine binding and transforming activity. The work also established new cell biological properties of Abl, including nuclear shuttling and binding to G- and F-actin.  These four papers are among 13 papers I published as a student.</w:t>
      </w:r>
    </w:p>
    <w:p w14:paraId="69891AA9" w14:textId="77777777" w:rsidR="0027606E" w:rsidRDefault="0027606E" w:rsidP="0027606E">
      <w:pPr>
        <w:widowControl w:val="0"/>
        <w:adjustRightInd w:val="0"/>
        <w:rPr>
          <w:rFonts w:cs="Arial"/>
          <w:i/>
          <w:color w:val="000000" w:themeColor="text1"/>
          <w:szCs w:val="22"/>
        </w:rPr>
      </w:pPr>
    </w:p>
    <w:p w14:paraId="4BD0AA66" w14:textId="77777777" w:rsidR="0027606E" w:rsidRPr="00542D8A" w:rsidRDefault="0027606E" w:rsidP="0027606E">
      <w:pPr>
        <w:widowControl w:val="0"/>
        <w:adjustRightInd w:val="0"/>
        <w:rPr>
          <w:rFonts w:cs="Arial"/>
          <w:i/>
          <w:color w:val="000000" w:themeColor="text1"/>
          <w:szCs w:val="22"/>
        </w:rPr>
      </w:pPr>
      <w:r w:rsidRPr="00542D8A">
        <w:rPr>
          <w:rFonts w:cs="Arial"/>
          <w:i/>
          <w:color w:val="000000" w:themeColor="text1"/>
          <w:szCs w:val="22"/>
        </w:rPr>
        <w:t>Jackson, P. and D. Baltimore (1989). N-terminal mutations activate the leukemogenic potential of the myristoylated form of c-abl.  EMBO J. 8: 449-456.</w:t>
      </w:r>
    </w:p>
    <w:p w14:paraId="1F25DF34" w14:textId="77777777" w:rsidR="0027606E" w:rsidRPr="00542D8A" w:rsidRDefault="0027606E" w:rsidP="0027606E">
      <w:pPr>
        <w:widowControl w:val="0"/>
        <w:adjustRightInd w:val="0"/>
        <w:rPr>
          <w:rFonts w:cs="Arial"/>
          <w:i/>
          <w:color w:val="000000" w:themeColor="text1"/>
          <w:szCs w:val="22"/>
        </w:rPr>
      </w:pPr>
      <w:r w:rsidRPr="00542D8A">
        <w:rPr>
          <w:rFonts w:cs="Arial"/>
          <w:i/>
          <w:color w:val="000000" w:themeColor="text1"/>
          <w:szCs w:val="22"/>
        </w:rPr>
        <w:t>Van Etten, R.A., P. Jackson, and D. Baltimore (1989). The mouse type IV c-abl gene product is a nuclear protein, and activation of transforming ability is associated with cytoplasmic localization.  Cell 58: 669-676.</w:t>
      </w:r>
    </w:p>
    <w:p w14:paraId="0AF080B2" w14:textId="77777777" w:rsidR="0027606E" w:rsidRPr="00542D8A" w:rsidRDefault="0027606E" w:rsidP="0027606E">
      <w:pPr>
        <w:widowControl w:val="0"/>
        <w:adjustRightInd w:val="0"/>
        <w:rPr>
          <w:rFonts w:cs="Arial"/>
          <w:i/>
          <w:color w:val="000000" w:themeColor="text1"/>
          <w:szCs w:val="22"/>
        </w:rPr>
      </w:pPr>
      <w:r>
        <w:rPr>
          <w:rFonts w:cs="Arial"/>
          <w:i/>
          <w:color w:val="000000" w:themeColor="text1"/>
          <w:szCs w:val="22"/>
        </w:rPr>
        <w:t>Mayer, B.</w:t>
      </w:r>
      <w:r w:rsidRPr="00542D8A">
        <w:rPr>
          <w:rFonts w:cs="Arial"/>
          <w:i/>
          <w:color w:val="000000" w:themeColor="text1"/>
          <w:szCs w:val="22"/>
        </w:rPr>
        <w:t>, P. Jackson, and D. Baltimore (1991). High-affinity binding of the non-catalytic SH2 segment of the abl tyrosine kinase to tyrosine-ph</w:t>
      </w:r>
      <w:r>
        <w:rPr>
          <w:rFonts w:cs="Arial"/>
          <w:i/>
          <w:color w:val="000000" w:themeColor="text1"/>
          <w:szCs w:val="22"/>
        </w:rPr>
        <w:t xml:space="preserve">osphorylated cellular proteins. PNAS </w:t>
      </w:r>
      <w:r w:rsidRPr="00542D8A">
        <w:rPr>
          <w:rFonts w:cs="Arial"/>
          <w:i/>
          <w:color w:val="000000" w:themeColor="text1"/>
          <w:szCs w:val="22"/>
        </w:rPr>
        <w:t>88:</w:t>
      </w:r>
      <w:r>
        <w:rPr>
          <w:rFonts w:cs="Arial"/>
          <w:i/>
          <w:color w:val="000000" w:themeColor="text1"/>
          <w:szCs w:val="22"/>
        </w:rPr>
        <w:t xml:space="preserve"> 627</w:t>
      </w:r>
      <w:r w:rsidRPr="00542D8A">
        <w:rPr>
          <w:rFonts w:cs="Arial"/>
          <w:i/>
          <w:color w:val="000000" w:themeColor="text1"/>
          <w:szCs w:val="22"/>
        </w:rPr>
        <w:t>.</w:t>
      </w:r>
      <w:r w:rsidRPr="00542D8A">
        <w:rPr>
          <w:rFonts w:cs="Arial"/>
          <w:i/>
          <w:color w:val="000000" w:themeColor="text1"/>
          <w:szCs w:val="22"/>
        </w:rPr>
        <w:tab/>
      </w:r>
    </w:p>
    <w:p w14:paraId="10F9A011" w14:textId="3504A6C4" w:rsidR="0027606E" w:rsidRDefault="0027606E" w:rsidP="0027606E">
      <w:pPr>
        <w:widowControl w:val="0"/>
        <w:adjustRightInd w:val="0"/>
        <w:rPr>
          <w:rFonts w:cs="Arial"/>
          <w:i/>
          <w:color w:val="000000" w:themeColor="text1"/>
          <w:szCs w:val="22"/>
        </w:rPr>
      </w:pPr>
      <w:r w:rsidRPr="00542D8A">
        <w:rPr>
          <w:rFonts w:cs="Arial"/>
          <w:i/>
          <w:color w:val="000000" w:themeColor="text1"/>
          <w:szCs w:val="22"/>
        </w:rPr>
        <w:t>Mayer, B. J.,</w:t>
      </w:r>
      <w:r w:rsidR="007C6B03">
        <w:rPr>
          <w:rFonts w:cs="Arial"/>
          <w:i/>
          <w:color w:val="000000" w:themeColor="text1"/>
          <w:szCs w:val="22"/>
        </w:rPr>
        <w:t xml:space="preserve"> P. K. Jackson, et al</w:t>
      </w:r>
      <w:r w:rsidRPr="00542D8A">
        <w:rPr>
          <w:rFonts w:cs="Arial"/>
          <w:i/>
          <w:color w:val="000000" w:themeColor="text1"/>
          <w:szCs w:val="22"/>
        </w:rPr>
        <w:t xml:space="preserve"> and D. Baltimore (1992).  Point mutations in the abl SH2 domain coordinately impair phosphotyrosine binding in vitro and transforming activity in vivo.  Mol. Cell. Biol.12: 609-618.</w:t>
      </w:r>
    </w:p>
    <w:p w14:paraId="4785E5FC" w14:textId="537E75D4" w:rsidR="0027606E" w:rsidRPr="0027606E" w:rsidRDefault="0027606E" w:rsidP="0027606E">
      <w:pPr>
        <w:widowControl w:val="0"/>
        <w:adjustRightInd w:val="0"/>
        <w:rPr>
          <w:rFonts w:cs="Arial"/>
          <w:color w:val="000000" w:themeColor="text1"/>
          <w:szCs w:val="22"/>
        </w:rPr>
      </w:pPr>
      <w:r w:rsidRPr="0027606E">
        <w:rPr>
          <w:rFonts w:cs="Arial"/>
          <w:color w:val="000000" w:themeColor="text1"/>
          <w:szCs w:val="22"/>
        </w:rPr>
        <w:t xml:space="preserve"> </w:t>
      </w:r>
    </w:p>
    <w:p w14:paraId="76D4CCA9" w14:textId="77777777" w:rsidR="0027606E" w:rsidRPr="00542D8A" w:rsidRDefault="0027606E" w:rsidP="0027606E">
      <w:pPr>
        <w:widowControl w:val="0"/>
        <w:adjustRightInd w:val="0"/>
        <w:rPr>
          <w:rFonts w:cs="Arial"/>
          <w:szCs w:val="22"/>
        </w:rPr>
      </w:pPr>
      <w:r w:rsidRPr="0014751F">
        <w:rPr>
          <w:rFonts w:cs="Arial"/>
          <w:b/>
          <w:color w:val="000000" w:themeColor="text1"/>
          <w:szCs w:val="22"/>
        </w:rPr>
        <w:t>2.</w:t>
      </w:r>
      <w:r w:rsidRPr="00542D8A">
        <w:rPr>
          <w:rFonts w:cs="Arial"/>
          <w:color w:val="000000" w:themeColor="text1"/>
          <w:szCs w:val="22"/>
        </w:rPr>
        <w:t xml:space="preserve"> </w:t>
      </w:r>
      <w:r>
        <w:rPr>
          <w:rFonts w:cs="Arial"/>
          <w:color w:val="000000" w:themeColor="text1"/>
          <w:szCs w:val="22"/>
        </w:rPr>
        <w:t xml:space="preserve"> </w:t>
      </w:r>
      <w:r w:rsidRPr="00542D8A">
        <w:rPr>
          <w:rFonts w:cs="Arial"/>
          <w:b/>
          <w:szCs w:val="22"/>
        </w:rPr>
        <w:t>Discovery that cyclin E/Cdk2 drives initiation of DNA replication and centrosome cycle</w:t>
      </w:r>
      <w:r w:rsidRPr="00542D8A">
        <w:rPr>
          <w:rFonts w:cs="Arial"/>
          <w:i/>
          <w:color w:val="000000" w:themeColor="text1"/>
          <w:szCs w:val="22"/>
        </w:rPr>
        <w:t>:</w:t>
      </w:r>
      <w:r w:rsidRPr="00542D8A">
        <w:rPr>
          <w:rFonts w:cs="Arial"/>
          <w:b/>
          <w:i/>
          <w:color w:val="000000" w:themeColor="text1"/>
          <w:szCs w:val="22"/>
        </w:rPr>
        <w:t xml:space="preserve">  </w:t>
      </w:r>
      <w:r w:rsidRPr="00542D8A">
        <w:rPr>
          <w:rFonts w:cs="Arial"/>
          <w:szCs w:val="22"/>
        </w:rPr>
        <w:t xml:space="preserve">In 1992, the role of cyclin B in programming mitosis was established, but multiple other cyclins had recently been cloned.  During my postdoctoral work, I screened these cyclins for replication stimulating activity in Xenopus egg extracts and showed that cyclin E/Cdk2 kinase stimulates initiation of DNA replication and detailed how origin unwinding was the key step.  Realizing the similarity between the “once-and-only once replication” program of </w:t>
      </w:r>
      <w:r w:rsidRPr="00542D8A">
        <w:rPr>
          <w:rFonts w:cs="Arial"/>
          <w:szCs w:val="22"/>
        </w:rPr>
        <w:lastRenderedPageBreak/>
        <w:t xml:space="preserve">chromosomes, and centrosomes, I continued this work with Tim Stearns </w:t>
      </w:r>
      <w:r>
        <w:rPr>
          <w:rFonts w:cs="Arial"/>
          <w:szCs w:val="22"/>
        </w:rPr>
        <w:t xml:space="preserve">lab </w:t>
      </w:r>
      <w:r w:rsidRPr="00542D8A">
        <w:rPr>
          <w:rFonts w:cs="Arial"/>
          <w:szCs w:val="22"/>
        </w:rPr>
        <w:t>when I started at Stanford showing that Cdk2 can control centrosome duplication, using the Xenopus egg system, and also that SCF ubiquitin ligases play a key role, extending the generality between the control of the DNA replication and centrosome duplication cycles.</w:t>
      </w:r>
      <w:r>
        <w:rPr>
          <w:rFonts w:cs="Arial"/>
          <w:szCs w:val="22"/>
        </w:rPr>
        <w:t xml:space="preserve">  I studied cell cycle control of DNA replication as a postdoctoral fellow and for my first years as a professor at Stanford.</w:t>
      </w:r>
    </w:p>
    <w:p w14:paraId="5CBC609C" w14:textId="77777777" w:rsidR="0027606E" w:rsidRDefault="0027606E" w:rsidP="0027606E">
      <w:pPr>
        <w:widowControl w:val="0"/>
        <w:adjustRightInd w:val="0"/>
        <w:rPr>
          <w:rFonts w:cs="Arial"/>
          <w:i/>
          <w:color w:val="000000" w:themeColor="text1"/>
          <w:szCs w:val="22"/>
        </w:rPr>
      </w:pPr>
    </w:p>
    <w:p w14:paraId="41D32C32" w14:textId="77777777" w:rsidR="0027606E" w:rsidRPr="00542D8A" w:rsidRDefault="0027606E" w:rsidP="0027606E">
      <w:pPr>
        <w:widowControl w:val="0"/>
        <w:adjustRightInd w:val="0"/>
        <w:rPr>
          <w:rFonts w:cs="Arial"/>
          <w:i/>
          <w:color w:val="000000" w:themeColor="text1"/>
          <w:szCs w:val="22"/>
        </w:rPr>
      </w:pPr>
      <w:r w:rsidRPr="00542D8A">
        <w:rPr>
          <w:rFonts w:cs="Arial"/>
          <w:i/>
          <w:color w:val="000000" w:themeColor="text1"/>
          <w:szCs w:val="22"/>
        </w:rPr>
        <w:t>P. K. Jackson, S. Chevalier, M. Phillipe, and M. W. Kirschner (1995). Early events in DNA replication require cyclin E and are blocked by p21CIP1.  J. Cell Biol. 130: 755-769.</w:t>
      </w:r>
      <w:r w:rsidRPr="00542D8A">
        <w:rPr>
          <w:rFonts w:cs="Arial"/>
          <w:i/>
          <w:color w:val="000000" w:themeColor="text1"/>
          <w:szCs w:val="22"/>
        </w:rPr>
        <w:tab/>
      </w:r>
    </w:p>
    <w:p w14:paraId="5D5346BD" w14:textId="77777777" w:rsidR="0027606E" w:rsidRPr="00542D8A" w:rsidRDefault="0027606E" w:rsidP="0027606E">
      <w:pPr>
        <w:widowControl w:val="0"/>
        <w:adjustRightInd w:val="0"/>
        <w:rPr>
          <w:rFonts w:cs="Arial"/>
          <w:i/>
          <w:color w:val="000000" w:themeColor="text1"/>
          <w:szCs w:val="22"/>
        </w:rPr>
      </w:pPr>
      <w:r w:rsidRPr="00542D8A">
        <w:rPr>
          <w:rFonts w:cs="Arial"/>
          <w:i/>
          <w:color w:val="000000" w:themeColor="text1"/>
          <w:szCs w:val="22"/>
        </w:rPr>
        <w:t>Chen, J., P. K. Jackson, M. W. Kirschner, and A. Dutta (1995).  Inhibition of cdk2 kinase, but not PCNA, is essential for the growth suppression activity of p21.   Nature 374: 386-388.</w:t>
      </w:r>
    </w:p>
    <w:p w14:paraId="5ECDB2ED" w14:textId="77777777" w:rsidR="0027606E" w:rsidRPr="00542D8A" w:rsidRDefault="0027606E" w:rsidP="0027606E">
      <w:pPr>
        <w:widowControl w:val="0"/>
        <w:adjustRightInd w:val="0"/>
        <w:rPr>
          <w:rFonts w:cs="Arial"/>
          <w:i/>
          <w:color w:val="000000" w:themeColor="text1"/>
          <w:szCs w:val="22"/>
        </w:rPr>
      </w:pPr>
      <w:r w:rsidRPr="00542D8A">
        <w:rPr>
          <w:rFonts w:cs="Arial"/>
          <w:i/>
          <w:color w:val="000000" w:themeColor="text1"/>
          <w:szCs w:val="22"/>
        </w:rPr>
        <w:t>Lacey, K., P. K. Jackson, and T. Stearns (1999).  Cyclin-dependent kinases direct centrosome duplication.  Proc. Natl. Acad. Sci. USA 96: 2817-2822. Collaborative study with another lab.</w:t>
      </w:r>
    </w:p>
    <w:p w14:paraId="14560804" w14:textId="6A574C03" w:rsidR="0027606E" w:rsidRDefault="007C6B03" w:rsidP="0027606E">
      <w:pPr>
        <w:widowControl w:val="0"/>
        <w:adjustRightInd w:val="0"/>
        <w:rPr>
          <w:rFonts w:cs="Arial"/>
          <w:i/>
          <w:color w:val="000000" w:themeColor="text1"/>
          <w:szCs w:val="22"/>
        </w:rPr>
      </w:pPr>
      <w:r>
        <w:rPr>
          <w:rFonts w:cs="Arial"/>
          <w:i/>
          <w:color w:val="000000" w:themeColor="text1"/>
          <w:szCs w:val="22"/>
        </w:rPr>
        <w:t xml:space="preserve">Freed, E., K, et al </w:t>
      </w:r>
      <w:r w:rsidR="0027606E" w:rsidRPr="00542D8A">
        <w:rPr>
          <w:rFonts w:cs="Arial"/>
          <w:i/>
          <w:color w:val="000000" w:themeColor="text1"/>
          <w:szCs w:val="22"/>
        </w:rPr>
        <w:t>and P. K. Jackson (1999).  SCF components Skp1 and Cul1 localize to and direct the duplication of the centrosome.  Genes &amp; Development 3: 2242-2257.</w:t>
      </w:r>
    </w:p>
    <w:p w14:paraId="357B350F" w14:textId="77777777" w:rsidR="0027606E" w:rsidRPr="0027606E" w:rsidRDefault="0027606E" w:rsidP="0027606E">
      <w:pPr>
        <w:widowControl w:val="0"/>
        <w:adjustRightInd w:val="0"/>
        <w:rPr>
          <w:rFonts w:cs="Arial"/>
          <w:color w:val="000000" w:themeColor="text1"/>
          <w:szCs w:val="22"/>
        </w:rPr>
      </w:pPr>
    </w:p>
    <w:p w14:paraId="437E33BB" w14:textId="77777777" w:rsidR="0027606E" w:rsidRPr="002A56B5" w:rsidRDefault="0027606E" w:rsidP="0027606E">
      <w:pPr>
        <w:widowControl w:val="0"/>
        <w:adjustRightInd w:val="0"/>
        <w:rPr>
          <w:rFonts w:cs="Arial"/>
          <w:szCs w:val="22"/>
        </w:rPr>
      </w:pPr>
      <w:r w:rsidRPr="0014751F">
        <w:rPr>
          <w:rFonts w:cs="Arial"/>
          <w:b/>
          <w:color w:val="000000" w:themeColor="text1"/>
          <w:szCs w:val="22"/>
        </w:rPr>
        <w:t>3.</w:t>
      </w:r>
      <w:r w:rsidRPr="00542D8A">
        <w:rPr>
          <w:rFonts w:cs="Arial"/>
          <w:b/>
          <w:i/>
          <w:color w:val="000000" w:themeColor="text1"/>
          <w:szCs w:val="22"/>
        </w:rPr>
        <w:t xml:space="preserve">  </w:t>
      </w:r>
      <w:r w:rsidRPr="00542D8A">
        <w:rPr>
          <w:rFonts w:cs="Arial"/>
          <w:b/>
          <w:szCs w:val="22"/>
        </w:rPr>
        <w:t xml:space="preserve">Discovery of Emi1/Emi2, pseudosubstrate inhibitors of the Anaphase Promoting Complex, and determination of the role of these proteins in cell cycle regulation cancer, and meiosis II.  </w:t>
      </w:r>
      <w:r w:rsidRPr="00542D8A">
        <w:rPr>
          <w:rFonts w:cs="Arial"/>
          <w:szCs w:val="22"/>
        </w:rPr>
        <w:t>Following biochemical purification of a complex of proteins associated with cyclin E/Cdk2 from Xenopus eggs, I discovered a new associated protein, called Skp1, which proved to be a key protein binding to components of what is now known as the SCF family of E3 ubiquitin ligases.  To understand how Skp1 controlled the cell cycle, my lab conducted a yeast two-hybrid screen and</w:t>
      </w:r>
      <w:r>
        <w:rPr>
          <w:rFonts w:cs="Arial"/>
          <w:szCs w:val="22"/>
        </w:rPr>
        <w:t xml:space="preserve"> in 1999 we</w:t>
      </w:r>
      <w:r w:rsidRPr="00542D8A">
        <w:rPr>
          <w:rFonts w:cs="Arial"/>
          <w:szCs w:val="22"/>
        </w:rPr>
        <w:t xml:space="preserve"> identified a series of “F-box proteins”, adaptors for substrate selection by E3 ligases.  We screened these in Xenopus embryos and found that one protein, Emi1, would arrest cells in mitosis.  </w:t>
      </w:r>
      <w:r>
        <w:rPr>
          <w:rFonts w:cs="Arial"/>
          <w:szCs w:val="22"/>
        </w:rPr>
        <w:t xml:space="preserve">We then showed the </w:t>
      </w:r>
      <w:r w:rsidRPr="00542D8A">
        <w:rPr>
          <w:rFonts w:cs="Arial"/>
          <w:szCs w:val="22"/>
        </w:rPr>
        <w:t xml:space="preserve">protein blocked mitosis by binding and inhibiting the Anaphase Promoting Complex, the E3 ligase that destroys cyclin B.  We went on to show that Emi1 itself was destroyed in a cell cycle specific fashion, that this was triggered by the polo-like kinase Plk1, </w:t>
      </w:r>
      <w:r>
        <w:rPr>
          <w:rFonts w:cs="Arial"/>
          <w:szCs w:val="22"/>
        </w:rPr>
        <w:t>and was critical for stabilizing cyclin A to drive S phase.  We found the</w:t>
      </w:r>
      <w:r w:rsidRPr="00542D8A">
        <w:rPr>
          <w:rFonts w:cs="Arial"/>
          <w:szCs w:val="22"/>
        </w:rPr>
        <w:t xml:space="preserve"> Emi2 </w:t>
      </w:r>
      <w:r>
        <w:rPr>
          <w:rFonts w:cs="Arial"/>
          <w:szCs w:val="22"/>
        </w:rPr>
        <w:t xml:space="preserve">homolog </w:t>
      </w:r>
      <w:r w:rsidRPr="00542D8A">
        <w:rPr>
          <w:rFonts w:cs="Arial"/>
          <w:szCs w:val="22"/>
        </w:rPr>
        <w:t xml:space="preserve">works specifically to hold eggs in Meiosis II before fertilization.  </w:t>
      </w:r>
      <w:r>
        <w:rPr>
          <w:rFonts w:cs="Arial"/>
          <w:szCs w:val="22"/>
        </w:rPr>
        <w:t xml:space="preserve">We also linked Emi1 to cancer in a series of papers.  </w:t>
      </w:r>
      <w:r w:rsidRPr="00542D8A">
        <w:rPr>
          <w:rFonts w:cs="Arial"/>
          <w:szCs w:val="22"/>
        </w:rPr>
        <w:t xml:space="preserve">We published a total of 29 papers on Emi1/Emi2, including these: </w:t>
      </w:r>
    </w:p>
    <w:p w14:paraId="5B936233" w14:textId="77777777" w:rsidR="0027606E" w:rsidRDefault="0027606E" w:rsidP="0027606E">
      <w:pPr>
        <w:rPr>
          <w:rFonts w:cs="Arial"/>
          <w:i/>
          <w:color w:val="000000" w:themeColor="text1"/>
          <w:szCs w:val="22"/>
        </w:rPr>
      </w:pPr>
    </w:p>
    <w:p w14:paraId="402B337E" w14:textId="667B0C1D" w:rsidR="0027606E" w:rsidRPr="00542D8A" w:rsidRDefault="0027606E" w:rsidP="0027606E">
      <w:pPr>
        <w:rPr>
          <w:rFonts w:cs="Arial"/>
          <w:i/>
          <w:color w:val="000000" w:themeColor="text1"/>
          <w:szCs w:val="22"/>
        </w:rPr>
      </w:pPr>
      <w:r w:rsidRPr="00542D8A">
        <w:rPr>
          <w:rFonts w:cs="Arial"/>
          <w:i/>
          <w:color w:val="000000" w:themeColor="text1"/>
          <w:szCs w:val="22"/>
        </w:rPr>
        <w:t xml:space="preserve">Reimann, J. D. R., </w:t>
      </w:r>
      <w:r>
        <w:rPr>
          <w:rFonts w:cs="Arial"/>
          <w:i/>
          <w:color w:val="000000" w:themeColor="text1"/>
          <w:szCs w:val="22"/>
        </w:rPr>
        <w:t>et. al</w:t>
      </w:r>
      <w:r w:rsidRPr="00542D8A">
        <w:rPr>
          <w:rFonts w:cs="Arial"/>
          <w:i/>
          <w:color w:val="000000" w:themeColor="text1"/>
          <w:szCs w:val="22"/>
        </w:rPr>
        <w:t xml:space="preserve">, and P. K. </w:t>
      </w:r>
      <w:r w:rsidR="00384824" w:rsidRPr="00542D8A">
        <w:rPr>
          <w:rFonts w:cs="Arial"/>
          <w:i/>
          <w:color w:val="000000" w:themeColor="text1"/>
          <w:szCs w:val="22"/>
        </w:rPr>
        <w:t>Jackson (</w:t>
      </w:r>
      <w:r w:rsidRPr="00542D8A">
        <w:rPr>
          <w:rFonts w:cs="Arial"/>
          <w:i/>
          <w:color w:val="000000" w:themeColor="text1"/>
          <w:szCs w:val="22"/>
        </w:rPr>
        <w:t xml:space="preserve">2001).  Emi1 is a mitotic regulator that interacts with Cdc20 and inhibits the anaphase promoting complex. Cell 105: 645-55 </w:t>
      </w:r>
    </w:p>
    <w:p w14:paraId="54633101" w14:textId="77777777" w:rsidR="0027606E" w:rsidRPr="00542D8A" w:rsidRDefault="0027606E" w:rsidP="0027606E">
      <w:pPr>
        <w:rPr>
          <w:rFonts w:cs="Arial"/>
          <w:i/>
          <w:color w:val="000000" w:themeColor="text1"/>
          <w:szCs w:val="22"/>
        </w:rPr>
      </w:pPr>
      <w:r w:rsidRPr="00542D8A">
        <w:rPr>
          <w:rFonts w:cs="Arial"/>
          <w:i/>
          <w:color w:val="000000" w:themeColor="text1"/>
          <w:szCs w:val="22"/>
        </w:rPr>
        <w:t xml:space="preserve">Hsu, J. </w:t>
      </w:r>
      <w:r>
        <w:rPr>
          <w:rFonts w:cs="Arial"/>
          <w:i/>
          <w:color w:val="000000" w:themeColor="text1"/>
          <w:szCs w:val="22"/>
        </w:rPr>
        <w:t>Y.</w:t>
      </w:r>
      <w:r w:rsidRPr="00542D8A">
        <w:rPr>
          <w:rFonts w:cs="Arial"/>
          <w:i/>
          <w:color w:val="000000" w:themeColor="text1"/>
          <w:szCs w:val="22"/>
        </w:rPr>
        <w:t xml:space="preserve">, </w:t>
      </w:r>
      <w:r>
        <w:rPr>
          <w:rFonts w:cs="Arial"/>
          <w:i/>
          <w:color w:val="000000" w:themeColor="text1"/>
          <w:szCs w:val="22"/>
        </w:rPr>
        <w:t>et. al</w:t>
      </w:r>
      <w:r w:rsidRPr="00542D8A">
        <w:rPr>
          <w:rFonts w:cs="Arial"/>
          <w:i/>
          <w:color w:val="000000" w:themeColor="text1"/>
          <w:szCs w:val="22"/>
        </w:rPr>
        <w:t>, and P. K. Jackson (2002).  The E2F-dependent accumulation of hEmi1 regulates S phase entry by inhibiting APCCdh1.  Nature Cell Biology 4: 358-366</w:t>
      </w:r>
    </w:p>
    <w:p w14:paraId="7C5BD118" w14:textId="77777777" w:rsidR="0027606E" w:rsidRPr="00542D8A" w:rsidRDefault="0027606E" w:rsidP="0027606E">
      <w:pPr>
        <w:rPr>
          <w:rFonts w:cs="Arial"/>
          <w:i/>
          <w:color w:val="000000" w:themeColor="text1"/>
          <w:szCs w:val="22"/>
        </w:rPr>
      </w:pPr>
      <w:r w:rsidRPr="00542D8A">
        <w:rPr>
          <w:rFonts w:cs="Arial"/>
          <w:i/>
          <w:color w:val="000000" w:themeColor="text1"/>
          <w:szCs w:val="22"/>
        </w:rPr>
        <w:t>Margottin-Goguet, F., J. Y. Hsu, A. Loktev, H-M. Hsieh, J. D. R. Reimann, and P. K. Jackson (2003).  Destruction of Emi1 in late prophase requires the SCFbetaTrCP/Slimb ubiquitin ligase and triggers activation of the Anaphase Promoting Complex to allow progression beyond prometaphase.   Developmental Cell 4: 813-26</w:t>
      </w:r>
    </w:p>
    <w:p w14:paraId="69718ED6" w14:textId="2D414DE2" w:rsidR="0027606E" w:rsidRDefault="0027606E" w:rsidP="0027606E">
      <w:pPr>
        <w:rPr>
          <w:rFonts w:cs="Arial"/>
          <w:i/>
          <w:color w:val="000000" w:themeColor="text1"/>
          <w:szCs w:val="22"/>
        </w:rPr>
      </w:pPr>
      <w:r w:rsidRPr="00542D8A">
        <w:rPr>
          <w:rFonts w:cs="Arial"/>
          <w:i/>
          <w:color w:val="000000" w:themeColor="text1"/>
          <w:szCs w:val="22"/>
        </w:rPr>
        <w:t>Miller, J. J., M. K. Summers, D. V. Hansen, M. V. Nachury, N. L. Lehman, A. Loktev, and P. K. Jackson. (2006).  Emi1 stably binds and inhibits the anaphase-promoting complex/cyclosome as a pseudosubstrate inhibitor. Genes &amp; Development 20:2410-20</w:t>
      </w:r>
      <w:r>
        <w:rPr>
          <w:rFonts w:cs="Arial"/>
          <w:i/>
          <w:color w:val="000000" w:themeColor="text1"/>
          <w:szCs w:val="22"/>
        </w:rPr>
        <w:t>.</w:t>
      </w:r>
    </w:p>
    <w:p w14:paraId="52AF61A1" w14:textId="77777777" w:rsidR="0027606E" w:rsidRPr="0027606E" w:rsidRDefault="0027606E" w:rsidP="0027606E">
      <w:pPr>
        <w:rPr>
          <w:rFonts w:cs="Arial"/>
          <w:color w:val="000000" w:themeColor="text1"/>
          <w:szCs w:val="22"/>
        </w:rPr>
      </w:pPr>
    </w:p>
    <w:p w14:paraId="4481912B" w14:textId="77777777" w:rsidR="0027606E" w:rsidRPr="00542D8A" w:rsidRDefault="0027606E" w:rsidP="0027606E">
      <w:pPr>
        <w:rPr>
          <w:rFonts w:cs="Arial"/>
          <w:b/>
          <w:szCs w:val="22"/>
        </w:rPr>
      </w:pPr>
      <w:r>
        <w:rPr>
          <w:rFonts w:cs="Arial"/>
          <w:b/>
          <w:szCs w:val="22"/>
        </w:rPr>
        <w:t xml:space="preserve">4.  </w:t>
      </w:r>
      <w:r w:rsidRPr="00542D8A">
        <w:rPr>
          <w:rFonts w:cs="Arial"/>
          <w:b/>
          <w:szCs w:val="22"/>
        </w:rPr>
        <w:t xml:space="preserve">Discovery of the BBSome and Tubby </w:t>
      </w:r>
      <w:r>
        <w:rPr>
          <w:rFonts w:cs="Arial"/>
          <w:b/>
          <w:szCs w:val="22"/>
        </w:rPr>
        <w:t>GPCR trafficking p</w:t>
      </w:r>
      <w:r w:rsidRPr="00542D8A">
        <w:rPr>
          <w:rFonts w:cs="Arial"/>
          <w:b/>
          <w:szCs w:val="22"/>
        </w:rPr>
        <w:t xml:space="preserve">athways, </w:t>
      </w:r>
      <w:r>
        <w:rPr>
          <w:rFonts w:cs="Arial"/>
          <w:b/>
          <w:szCs w:val="22"/>
        </w:rPr>
        <w:t>critical for ciliary trafficking of receptors, and their role in retinal degeneration and obesity</w:t>
      </w:r>
    </w:p>
    <w:p w14:paraId="39AAE7E7" w14:textId="77777777" w:rsidR="0027606E" w:rsidRPr="00542D8A" w:rsidRDefault="0027606E" w:rsidP="0027606E">
      <w:pPr>
        <w:rPr>
          <w:rFonts w:cs="Arial"/>
          <w:szCs w:val="22"/>
        </w:rPr>
      </w:pPr>
      <w:r w:rsidRPr="00542D8A">
        <w:rPr>
          <w:rFonts w:cs="Arial"/>
          <w:szCs w:val="22"/>
        </w:rPr>
        <w:t xml:space="preserve">Earlier work in the lab had focused on mitotic exit control by the Cdc14 phosphatase.  </w:t>
      </w:r>
      <w:r>
        <w:rPr>
          <w:rFonts w:cs="Arial"/>
          <w:szCs w:val="22"/>
        </w:rPr>
        <w:t>A yeast two-</w:t>
      </w:r>
      <w:r w:rsidRPr="00542D8A">
        <w:rPr>
          <w:rFonts w:cs="Arial"/>
          <w:szCs w:val="22"/>
        </w:rPr>
        <w:t>hybrid screen identified that Cdc14 interacted with multiple components of the primary cilium</w:t>
      </w:r>
      <w:r>
        <w:rPr>
          <w:rFonts w:cs="Arial"/>
          <w:szCs w:val="22"/>
        </w:rPr>
        <w:t xml:space="preserve"> including components like to obesity syndromes like Bardet-Biedl syndrome (BBS).  </w:t>
      </w:r>
      <w:r w:rsidRPr="00542D8A">
        <w:rPr>
          <w:rFonts w:cs="Arial"/>
          <w:szCs w:val="22"/>
        </w:rPr>
        <w:t>Tagg</w:t>
      </w:r>
      <w:r>
        <w:rPr>
          <w:rFonts w:cs="Arial"/>
          <w:szCs w:val="22"/>
        </w:rPr>
        <w:t xml:space="preserve">ing of the BBS proteins for tandem affinity purification led to the identification of a highly conserved complex, which we called the BBSome and an explanation of Bardet-Biedl syndrome via GPCR trafficking to cilia.  We continued using the tagging AP/MS approach with all known monogenic obesity genes, and found that the Tubby family of proteins, linked to obesity and morphogen pathways in mice, bound to components of the IFT-A ciliary intraflagellar transport complex and to the ciliary membrane, providing a link that we found was also critical for trafficking GPCRs into cilia.  Our discovery of these key genetic mechanisms for GPCR trafficking led us to screen for BBS- and Tubby/TULP-dependent GPCRs involved in obesity, the Sonic Hedgehog pathway, and more recently adipogenesis and mesenchymal stem cell function.  The BBSome paper, the discovery of the Tubby-IFT-A link, and the discovery of the NPY family of ciliary GPCRs explaining obesity in BBS patients and the new regulator of Shh signaling, GPR161, are reported in these papers: </w:t>
      </w:r>
    </w:p>
    <w:p w14:paraId="6C8F551E" w14:textId="77777777" w:rsidR="0027606E" w:rsidRDefault="0027606E" w:rsidP="0027606E">
      <w:pPr>
        <w:rPr>
          <w:rFonts w:cs="Arial"/>
          <w:i/>
          <w:color w:val="000000" w:themeColor="text1"/>
          <w:szCs w:val="22"/>
        </w:rPr>
      </w:pPr>
    </w:p>
    <w:p w14:paraId="51C155AF" w14:textId="77777777" w:rsidR="0027606E" w:rsidRPr="00542D8A" w:rsidRDefault="0027606E" w:rsidP="0027606E">
      <w:pPr>
        <w:rPr>
          <w:rFonts w:cs="Arial"/>
          <w:i/>
          <w:color w:val="000000" w:themeColor="text1"/>
          <w:szCs w:val="22"/>
        </w:rPr>
      </w:pPr>
      <w:r w:rsidRPr="00542D8A">
        <w:rPr>
          <w:rFonts w:cs="Arial"/>
          <w:i/>
          <w:color w:val="000000" w:themeColor="text1"/>
          <w:szCs w:val="22"/>
        </w:rPr>
        <w:lastRenderedPageBreak/>
        <w:t xml:space="preserve">Nachury, M.V., </w:t>
      </w:r>
      <w:r>
        <w:rPr>
          <w:rFonts w:cs="Arial"/>
          <w:i/>
          <w:color w:val="000000" w:themeColor="text1"/>
          <w:szCs w:val="22"/>
        </w:rPr>
        <w:t>et. al</w:t>
      </w:r>
      <w:r w:rsidRPr="00542D8A">
        <w:rPr>
          <w:rFonts w:cs="Arial"/>
          <w:i/>
          <w:color w:val="000000" w:themeColor="text1"/>
          <w:szCs w:val="22"/>
        </w:rPr>
        <w:t xml:space="preserve"> and P. K. Jackson (2007). A core complex of conserved BBS proteins links phosphoinositide signaling to primary cilium biogenesis. Cell 129, 1201-13.</w:t>
      </w:r>
    </w:p>
    <w:p w14:paraId="01010919" w14:textId="77777777" w:rsidR="0027606E" w:rsidRPr="00542D8A" w:rsidRDefault="0027606E" w:rsidP="0027606E">
      <w:pPr>
        <w:rPr>
          <w:rFonts w:cs="Arial"/>
          <w:i/>
          <w:color w:val="000000" w:themeColor="text1"/>
          <w:szCs w:val="22"/>
        </w:rPr>
      </w:pPr>
      <w:r w:rsidRPr="00542D8A">
        <w:rPr>
          <w:rFonts w:cs="Arial"/>
          <w:i/>
          <w:color w:val="000000" w:themeColor="text1"/>
          <w:szCs w:val="22"/>
        </w:rPr>
        <w:t>Mukhopadhyay, S., X. Wen, B. Chih, C. D. Nelson, W. S. Lane, S. J. Scales, and P. K. Jackson (2010). TULP3 bridges the IFT-A complex and the membrane phosphoinositi</w:t>
      </w:r>
      <w:r>
        <w:rPr>
          <w:rFonts w:cs="Arial"/>
          <w:i/>
          <w:color w:val="000000" w:themeColor="text1"/>
          <w:szCs w:val="22"/>
        </w:rPr>
        <w:t>d</w:t>
      </w:r>
      <w:r w:rsidRPr="00542D8A">
        <w:rPr>
          <w:rFonts w:cs="Arial"/>
          <w:i/>
          <w:color w:val="000000" w:themeColor="text1"/>
          <w:szCs w:val="22"/>
        </w:rPr>
        <w:t>es to promote trafficking of G protein-coupled receptors into primary cilia.  Genes &amp; Development. 24:2180-93.</w:t>
      </w:r>
    </w:p>
    <w:p w14:paraId="1FC6B47D" w14:textId="77777777" w:rsidR="0027606E" w:rsidRPr="00542D8A" w:rsidRDefault="0027606E" w:rsidP="0027606E">
      <w:pPr>
        <w:rPr>
          <w:rFonts w:cs="Arial"/>
          <w:i/>
          <w:color w:val="000000" w:themeColor="text1"/>
          <w:szCs w:val="22"/>
        </w:rPr>
      </w:pPr>
      <w:r w:rsidRPr="00542D8A">
        <w:rPr>
          <w:rFonts w:cs="Arial"/>
          <w:i/>
          <w:color w:val="000000" w:themeColor="text1"/>
          <w:szCs w:val="22"/>
        </w:rPr>
        <w:t xml:space="preserve">Mukhopadhyay, S., </w:t>
      </w:r>
      <w:r>
        <w:rPr>
          <w:rFonts w:cs="Arial"/>
          <w:i/>
          <w:color w:val="000000" w:themeColor="text1"/>
          <w:szCs w:val="22"/>
        </w:rPr>
        <w:t>et. al,</w:t>
      </w:r>
      <w:r w:rsidRPr="00542D8A">
        <w:rPr>
          <w:rFonts w:cs="Arial"/>
          <w:i/>
          <w:color w:val="000000" w:themeColor="text1"/>
          <w:szCs w:val="22"/>
        </w:rPr>
        <w:t xml:space="preserve"> P. K. Jackson (2013). The ciliary G-protein-coupled receptor Gpr161 negatively regulates the Sonic hedgehog pathway via cAMP signaling.  Cell 152:  210-23.</w:t>
      </w:r>
    </w:p>
    <w:p w14:paraId="185882EB" w14:textId="77777777" w:rsidR="0027606E" w:rsidRDefault="0027606E" w:rsidP="0027606E">
      <w:pPr>
        <w:rPr>
          <w:rFonts w:cs="Arial"/>
          <w:i/>
          <w:szCs w:val="22"/>
        </w:rPr>
      </w:pPr>
      <w:r w:rsidRPr="00542D8A">
        <w:rPr>
          <w:rFonts w:cs="Arial"/>
          <w:i/>
          <w:color w:val="000000" w:themeColor="text1"/>
          <w:szCs w:val="22"/>
        </w:rPr>
        <w:t xml:space="preserve">A. V. Loktev and P. K. Jackson (2013).  Neuropeptide Y family receptors signal via neuronal primary cilia. Cell Reports </w:t>
      </w:r>
      <w:r>
        <w:rPr>
          <w:rFonts w:cs="Arial"/>
          <w:i/>
          <w:szCs w:val="22"/>
        </w:rPr>
        <w:t xml:space="preserve">12:  5:1316-29. </w:t>
      </w:r>
    </w:p>
    <w:p w14:paraId="2506DFED" w14:textId="16A33D47" w:rsidR="0027606E" w:rsidRPr="0027606E" w:rsidRDefault="0027606E" w:rsidP="0027606E">
      <w:pPr>
        <w:rPr>
          <w:rFonts w:cs="Arial"/>
          <w:color w:val="000000" w:themeColor="text1"/>
          <w:szCs w:val="22"/>
        </w:rPr>
      </w:pPr>
      <w:r w:rsidRPr="0027606E">
        <w:rPr>
          <w:rFonts w:cs="Arial"/>
          <w:szCs w:val="22"/>
        </w:rPr>
        <w:t xml:space="preserve">  </w:t>
      </w:r>
    </w:p>
    <w:p w14:paraId="13C95523" w14:textId="77777777" w:rsidR="0027606E" w:rsidRPr="002A56B5" w:rsidRDefault="0027606E" w:rsidP="0027606E">
      <w:pPr>
        <w:rPr>
          <w:rFonts w:cs="Arial"/>
          <w:szCs w:val="22"/>
        </w:rPr>
      </w:pPr>
      <w:r>
        <w:rPr>
          <w:rFonts w:cs="Arial"/>
          <w:b/>
          <w:szCs w:val="22"/>
        </w:rPr>
        <w:t xml:space="preserve">5.  </w:t>
      </w:r>
      <w:r w:rsidRPr="00542D8A">
        <w:rPr>
          <w:rFonts w:cs="Arial"/>
          <w:b/>
          <w:szCs w:val="22"/>
        </w:rPr>
        <w:t>Discovery of</w:t>
      </w:r>
      <w:r>
        <w:rPr>
          <w:rFonts w:cs="Arial"/>
          <w:b/>
          <w:szCs w:val="22"/>
        </w:rPr>
        <w:t xml:space="preserve"> renal human disease </w:t>
      </w:r>
      <w:r w:rsidRPr="00542D8A">
        <w:rPr>
          <w:rFonts w:cs="Arial"/>
          <w:b/>
          <w:szCs w:val="22"/>
        </w:rPr>
        <w:t xml:space="preserve">network, ciliary trafficking, and </w:t>
      </w:r>
      <w:r>
        <w:rPr>
          <w:rFonts w:cs="Arial"/>
          <w:b/>
          <w:szCs w:val="22"/>
        </w:rPr>
        <w:t xml:space="preserve">establishing protein network building as a key </w:t>
      </w:r>
      <w:r w:rsidRPr="00542D8A">
        <w:rPr>
          <w:rFonts w:cs="Arial"/>
          <w:b/>
          <w:szCs w:val="22"/>
        </w:rPr>
        <w:t xml:space="preserve">approach to </w:t>
      </w:r>
      <w:r>
        <w:rPr>
          <w:rFonts w:cs="Arial"/>
          <w:b/>
          <w:szCs w:val="22"/>
        </w:rPr>
        <w:t xml:space="preserve">understanding </w:t>
      </w:r>
      <w:r w:rsidRPr="00542D8A">
        <w:rPr>
          <w:rFonts w:cs="Arial"/>
          <w:b/>
          <w:szCs w:val="22"/>
        </w:rPr>
        <w:t>human disease</w:t>
      </w:r>
      <w:r>
        <w:rPr>
          <w:rFonts w:cs="Arial"/>
          <w:b/>
          <w:szCs w:val="22"/>
        </w:rPr>
        <w:t xml:space="preserve"> mechanism</w:t>
      </w:r>
    </w:p>
    <w:p w14:paraId="2DD3ED3B" w14:textId="4D6FAA91" w:rsidR="0027606E" w:rsidRPr="00B07B43" w:rsidRDefault="0027606E" w:rsidP="0027606E">
      <w:pPr>
        <w:rPr>
          <w:rFonts w:cs="Arial"/>
          <w:szCs w:val="22"/>
        </w:rPr>
      </w:pPr>
      <w:r>
        <w:rPr>
          <w:rFonts w:cs="Arial"/>
          <w:szCs w:val="22"/>
        </w:rPr>
        <w:t xml:space="preserve">To better understand ciliary signaling pathways and ciliopathy diseases, in 2007 we began to systematically tag proteins mutated in human ciliopathies or mouse models.  In the case of the linked pediatric renal diseases nephronophthisis, Joubert, and Meckel-Gruber syndromes.  We tagged all eight known genes in 2007, and rapidly discovered these proteins copurified in four modules localized to distinct structures in the ciliary centriole, ciliary transition zone, and cilium, defining a transport pathway for trafficking of non-GPCR components, including G protein and adenylate cyclase into cilia.  We screened these new genes in human NPHP patients and identified new disease genes including the Tectonic 2 human mutation.  We continue to mine this highly detailed network of disease proteins.  When we started there were eight total disease genes known, and now there are over thirty, several of we helped discover.  Representative new pathways are detailed in the </w:t>
      </w:r>
      <w:r>
        <w:rPr>
          <w:rFonts w:cs="Arial"/>
          <w:i/>
          <w:szCs w:val="22"/>
        </w:rPr>
        <w:t xml:space="preserve">G&amp;D </w:t>
      </w:r>
      <w:r>
        <w:rPr>
          <w:rFonts w:cs="Arial"/>
          <w:szCs w:val="22"/>
        </w:rPr>
        <w:t xml:space="preserve">and </w:t>
      </w:r>
      <w:r>
        <w:rPr>
          <w:rFonts w:cs="Arial"/>
          <w:i/>
          <w:szCs w:val="22"/>
        </w:rPr>
        <w:t xml:space="preserve">PNAS </w:t>
      </w:r>
      <w:r>
        <w:rPr>
          <w:rFonts w:cs="Arial"/>
          <w:szCs w:val="22"/>
        </w:rPr>
        <w:t xml:space="preserve">papers listed below.  Using this approach, </w:t>
      </w:r>
      <w:r w:rsidR="00384824">
        <w:rPr>
          <w:rFonts w:cs="Arial"/>
          <w:szCs w:val="22"/>
        </w:rPr>
        <w:t>we</w:t>
      </w:r>
      <w:r>
        <w:rPr>
          <w:rFonts w:cs="Arial"/>
          <w:szCs w:val="22"/>
        </w:rPr>
        <w:t xml:space="preserve"> continue to look for proteins linked to human genetic diseases and in specific cancers, including NSCLC, breast cancer, and Kras-driven tumors.  </w:t>
      </w:r>
    </w:p>
    <w:p w14:paraId="3640B388" w14:textId="77777777" w:rsidR="0027606E" w:rsidRDefault="0027606E" w:rsidP="0027606E">
      <w:pPr>
        <w:rPr>
          <w:i/>
          <w:color w:val="000000" w:themeColor="text1"/>
        </w:rPr>
      </w:pPr>
    </w:p>
    <w:p w14:paraId="6B34485A" w14:textId="77777777" w:rsidR="0027606E" w:rsidRPr="009064D9" w:rsidRDefault="0027606E" w:rsidP="0027606E">
      <w:pPr>
        <w:rPr>
          <w:i/>
          <w:color w:val="000000" w:themeColor="text1"/>
          <w:szCs w:val="22"/>
        </w:rPr>
      </w:pPr>
      <w:r w:rsidRPr="009064D9">
        <w:rPr>
          <w:i/>
          <w:color w:val="000000" w:themeColor="text1"/>
        </w:rPr>
        <w:t xml:space="preserve">Sang, L., J. J. Miller, et. al, and P. K. Jackson (2011). Mapping the NPHP-JBTS-MKS Protein Network Reveals Ciliopathy Disease Genes and Pathways. Cell 145: 513-28. </w:t>
      </w:r>
    </w:p>
    <w:p w14:paraId="4FC8820E" w14:textId="60B20B6C" w:rsidR="0027606E" w:rsidRPr="009064D9" w:rsidRDefault="00384824" w:rsidP="0027606E">
      <w:pPr>
        <w:widowControl w:val="0"/>
        <w:adjustRightInd w:val="0"/>
        <w:rPr>
          <w:i/>
          <w:color w:val="000000" w:themeColor="text1"/>
        </w:rPr>
      </w:pPr>
      <w:r w:rsidRPr="009064D9">
        <w:rPr>
          <w:i/>
          <w:color w:val="000000" w:themeColor="text1"/>
        </w:rPr>
        <w:t xml:space="preserve">Wright, K. J.,  </w:t>
      </w:r>
      <w:r>
        <w:rPr>
          <w:i/>
          <w:color w:val="000000" w:themeColor="text1"/>
        </w:rPr>
        <w:t>et. el al</w:t>
      </w:r>
      <w:r w:rsidR="0027606E" w:rsidRPr="009064D9">
        <w:rPr>
          <w:i/>
          <w:color w:val="000000" w:themeColor="text1"/>
        </w:rPr>
        <w:t>, and P. K. Jackson (2011).  An ARL3-UNC119-RP2 GTPase cycle delivers myristoylated NPHP3 to the primary cilium.  Genes &amp; Development 15: 2347-60.</w:t>
      </w:r>
    </w:p>
    <w:p w14:paraId="5A323983" w14:textId="77777777" w:rsidR="0027606E" w:rsidRDefault="0027606E" w:rsidP="0027606E">
      <w:pPr>
        <w:rPr>
          <w:i/>
          <w:color w:val="000000" w:themeColor="text1"/>
          <w:szCs w:val="22"/>
        </w:rPr>
      </w:pPr>
      <w:r w:rsidRPr="009064D9">
        <w:rPr>
          <w:i/>
          <w:color w:val="000000" w:themeColor="text1"/>
          <w:szCs w:val="22"/>
        </w:rPr>
        <w:t xml:space="preserve">Westlake, C. J., </w:t>
      </w:r>
      <w:r>
        <w:rPr>
          <w:i/>
          <w:color w:val="000000" w:themeColor="text1"/>
          <w:szCs w:val="22"/>
        </w:rPr>
        <w:t>et.al</w:t>
      </w:r>
      <w:r w:rsidRPr="009064D9">
        <w:rPr>
          <w:i/>
          <w:color w:val="000000" w:themeColor="text1"/>
          <w:szCs w:val="22"/>
        </w:rPr>
        <w:t>, R. H. Scheller, P. K. Jackson (2011).  The Rab11-recycling endosome compartment directs primary cilium assembly through a Rab8 activation cascade.  Proc. Natl. Acad. Sci. USA 108: 2759-64</w:t>
      </w:r>
    </w:p>
    <w:p w14:paraId="53D53C0B" w14:textId="77777777" w:rsidR="0027606E" w:rsidRDefault="0027606E" w:rsidP="0027606E">
      <w:pPr>
        <w:pStyle w:val="DataField11pt-Single"/>
        <w:rPr>
          <w:szCs w:val="22"/>
        </w:rPr>
      </w:pPr>
    </w:p>
    <w:p w14:paraId="6FFF80B2" w14:textId="6A561647" w:rsidR="0027606E" w:rsidRDefault="0027606E" w:rsidP="007C6B03">
      <w:pPr>
        <w:pStyle w:val="DataField11pt-Single"/>
        <w:outlineLvl w:val="0"/>
        <w:rPr>
          <w:b/>
          <w:szCs w:val="22"/>
        </w:rPr>
      </w:pPr>
      <w:r w:rsidRPr="00F33AE5">
        <w:rPr>
          <w:b/>
          <w:szCs w:val="22"/>
        </w:rPr>
        <w:t>D.</w:t>
      </w:r>
      <w:r w:rsidRPr="00F33AE5">
        <w:rPr>
          <w:b/>
          <w:szCs w:val="22"/>
        </w:rPr>
        <w:tab/>
        <w:t>Research Support</w:t>
      </w:r>
    </w:p>
    <w:p w14:paraId="69B47B00" w14:textId="11AD68E2" w:rsidR="0027606E" w:rsidRPr="007C6B03" w:rsidRDefault="0027606E" w:rsidP="007C6B03">
      <w:pPr>
        <w:pStyle w:val="DataField11pt-Single"/>
        <w:rPr>
          <w:szCs w:val="22"/>
        </w:rPr>
      </w:pPr>
      <w:r w:rsidRPr="005A1AB9">
        <w:rPr>
          <w:szCs w:val="22"/>
        </w:rPr>
        <w:t>CSTA 1 UL1 TR001085 01</w:t>
      </w:r>
      <w:r w:rsidRPr="005A1AB9">
        <w:rPr>
          <w:szCs w:val="22"/>
        </w:rPr>
        <w:tab/>
      </w:r>
      <w:r w:rsidR="007C6B03">
        <w:rPr>
          <w:szCs w:val="22"/>
        </w:rPr>
        <w:t xml:space="preserve">Greenberg (PI)  </w:t>
      </w:r>
      <w:r>
        <w:rPr>
          <w:szCs w:val="22"/>
        </w:rPr>
        <w:t>04/01/11–3/30/16</w:t>
      </w:r>
      <w:r w:rsidR="007C6B03">
        <w:rPr>
          <w:szCs w:val="22"/>
        </w:rPr>
        <w:t xml:space="preserve">.  </w:t>
      </w:r>
      <w:r>
        <w:rPr>
          <w:rFonts w:ascii="ArialMT" w:hAnsi="ArialMT" w:cs="ArialMT"/>
        </w:rPr>
        <w:t>Protein Interaction Networks</w:t>
      </w:r>
    </w:p>
    <w:p w14:paraId="4BDFAB61" w14:textId="77777777" w:rsidR="0027606E" w:rsidRDefault="0027606E" w:rsidP="0027606E">
      <w:pPr>
        <w:adjustRightInd w:val="0"/>
        <w:rPr>
          <w:rFonts w:ascii="ArialMT" w:hAnsi="ArialMT" w:cs="ArialMT"/>
        </w:rPr>
      </w:pPr>
      <w:r>
        <w:rPr>
          <w:rFonts w:ascii="ArialMT" w:hAnsi="ArialMT" w:cs="ArialMT"/>
        </w:rPr>
        <w:t>The goal of this project is to utilize protein tagging technology (AP/MS) to generate protein networks</w:t>
      </w:r>
    </w:p>
    <w:p w14:paraId="5EBE9628" w14:textId="77777777" w:rsidR="0027606E" w:rsidRDefault="0027606E" w:rsidP="0027606E">
      <w:pPr>
        <w:adjustRightInd w:val="0"/>
        <w:rPr>
          <w:rFonts w:ascii="ArialMT" w:hAnsi="ArialMT" w:cs="ArialMT"/>
        </w:rPr>
      </w:pPr>
      <w:r>
        <w:rPr>
          <w:rFonts w:ascii="ArialMT" w:hAnsi="ArialMT" w:cs="ArialMT"/>
        </w:rPr>
        <w:t>describing 1) BRCA1 in breast cancer and 2) Herpes and rotavirus genomes. There is no overlap</w:t>
      </w:r>
    </w:p>
    <w:p w14:paraId="50936847" w14:textId="77777777" w:rsidR="0027606E" w:rsidRDefault="0027606E" w:rsidP="0027606E">
      <w:pPr>
        <w:adjustRightInd w:val="0"/>
        <w:rPr>
          <w:rFonts w:ascii="ArialMT" w:hAnsi="ArialMT" w:cs="ArialMT"/>
        </w:rPr>
      </w:pPr>
      <w:r>
        <w:rPr>
          <w:rFonts w:ascii="ArialMT" w:hAnsi="ArialMT" w:cs="ArialMT"/>
        </w:rPr>
        <w:t>with the current application.</w:t>
      </w:r>
    </w:p>
    <w:p w14:paraId="42144D46" w14:textId="77777777" w:rsidR="0027606E" w:rsidRDefault="0027606E" w:rsidP="0027606E">
      <w:pPr>
        <w:adjustRightInd w:val="0"/>
        <w:rPr>
          <w:rFonts w:ascii="ArialMT" w:hAnsi="ArialMT" w:cs="ArialMT"/>
        </w:rPr>
      </w:pPr>
    </w:p>
    <w:p w14:paraId="3B4A1EA3" w14:textId="747FDF3D" w:rsidR="007C6B03" w:rsidRPr="007C6B03" w:rsidRDefault="007C6B03" w:rsidP="007C6B03">
      <w:pPr>
        <w:adjustRightInd w:val="0"/>
        <w:rPr>
          <w:rFonts w:ascii="ArialMT" w:hAnsi="ArialMT" w:cs="ArialMT"/>
        </w:rPr>
      </w:pPr>
      <w:r>
        <w:rPr>
          <w:rFonts w:ascii="ArialMT" w:hAnsi="ArialMT" w:cs="ArialMT"/>
        </w:rPr>
        <w:t>1R01GM114276</w:t>
      </w:r>
      <w:r>
        <w:rPr>
          <w:rFonts w:ascii="ArialMT" w:hAnsi="ArialMT" w:cs="ArialMT"/>
        </w:rPr>
        <w:tab/>
        <w:t xml:space="preserve">Jackson (PI)  </w:t>
      </w:r>
      <w:r w:rsidR="0027606E">
        <w:rPr>
          <w:rFonts w:ascii="ArialMT" w:hAnsi="ArialMT" w:cs="ArialMT"/>
        </w:rPr>
        <w:t>04/01/15–02/28/19</w:t>
      </w:r>
      <w:r>
        <w:rPr>
          <w:rFonts w:ascii="ArialMT" w:hAnsi="ArialMT" w:cs="ArialMT"/>
        </w:rPr>
        <w:t xml:space="preserve">. $250K/yr.  </w:t>
      </w:r>
      <w:r w:rsidR="0027606E">
        <w:rPr>
          <w:rFonts w:ascii="ArialMT" w:hAnsi="ArialMT" w:cs="ArialMT"/>
        </w:rPr>
        <w:t>Centriolar-ciliary signaling mechanisms in tissue regeneration and differentiation</w:t>
      </w:r>
      <w:r>
        <w:rPr>
          <w:rFonts w:ascii="ArialMT" w:hAnsi="ArialMT" w:cs="ArialMT"/>
        </w:rPr>
        <w:t xml:space="preserve">.  </w:t>
      </w:r>
      <w:r w:rsidR="0027606E">
        <w:rPr>
          <w:szCs w:val="22"/>
        </w:rPr>
        <w:t>The goal o</w:t>
      </w:r>
      <w:r>
        <w:rPr>
          <w:szCs w:val="22"/>
        </w:rPr>
        <w:t xml:space="preserve">f this project is to define </w:t>
      </w:r>
      <w:r w:rsidR="0027606E">
        <w:rPr>
          <w:szCs w:val="22"/>
        </w:rPr>
        <w:t>mechanism</w:t>
      </w:r>
      <w:r>
        <w:rPr>
          <w:szCs w:val="22"/>
        </w:rPr>
        <w:t>s</w:t>
      </w:r>
      <w:r w:rsidR="0027606E">
        <w:rPr>
          <w:szCs w:val="22"/>
        </w:rPr>
        <w:t xml:space="preserve"> of ciliary insulin/IGF1 via the Ags3/IRS2 pathway and to validate the importance of the mechanism in the mouse models of tissue regeneration.</w:t>
      </w:r>
    </w:p>
    <w:p w14:paraId="248A25A5" w14:textId="77777777" w:rsidR="007C6B03" w:rsidRDefault="007C6B03" w:rsidP="007C6B03">
      <w:pPr>
        <w:pStyle w:val="DataField11pt-Single"/>
        <w:rPr>
          <w:szCs w:val="22"/>
        </w:rPr>
      </w:pPr>
    </w:p>
    <w:p w14:paraId="3255C7DA" w14:textId="18F49F21" w:rsidR="0027606E" w:rsidRPr="007C6B03" w:rsidRDefault="0027606E" w:rsidP="007C6B03">
      <w:pPr>
        <w:pStyle w:val="DataField11pt-Single"/>
        <w:rPr>
          <w:szCs w:val="22"/>
        </w:rPr>
      </w:pPr>
      <w:r>
        <w:t>1U01CA199216</w:t>
      </w:r>
      <w:r>
        <w:tab/>
        <w:t>7/1/15-6/30/19</w:t>
      </w:r>
      <w:r>
        <w:tab/>
        <w:t>1.0 calendar</w:t>
      </w:r>
      <w:r w:rsidR="007C6B03">
        <w:tab/>
        <w:t>$499K/</w:t>
      </w:r>
      <w:r w:rsidR="00384824">
        <w:t>yr.</w:t>
      </w:r>
      <w:r>
        <w:t xml:space="preserve"> (1/3 to Jackson Lab)</w:t>
      </w:r>
    </w:p>
    <w:p w14:paraId="2D574FC2" w14:textId="75DC34C0" w:rsidR="0027606E" w:rsidRDefault="0027606E" w:rsidP="007C6B03">
      <w:pPr>
        <w:tabs>
          <w:tab w:val="left" w:pos="3600"/>
        </w:tabs>
        <w:ind w:right="288"/>
        <w:rPr>
          <w:rFonts w:cs="Arial"/>
        </w:rPr>
      </w:pPr>
      <w:r>
        <w:rPr>
          <w:rFonts w:cs="Arial"/>
        </w:rPr>
        <w:t>“Target discovery for KRAS-driven cancers using protein interaction networks and combinatorial genetic interaction screens”</w:t>
      </w:r>
      <w:r w:rsidR="007C6B03">
        <w:rPr>
          <w:rFonts w:cs="Arial"/>
        </w:rPr>
        <w:t xml:space="preserve">.  </w:t>
      </w:r>
      <w:r>
        <w:rPr>
          <w:rFonts w:cs="Arial"/>
        </w:rPr>
        <w:t>The major goals of this project are:</w:t>
      </w:r>
      <w:r w:rsidR="007C6B03">
        <w:rPr>
          <w:rFonts w:cs="Arial"/>
        </w:rPr>
        <w:t xml:space="preserve">  </w:t>
      </w:r>
      <w:r>
        <w:rPr>
          <w:rFonts w:cs="Arial"/>
        </w:rPr>
        <w:t>Aim 1. Assemble a High confidence Protein Interaction (HCPI) Network for oncogenic KRAS in NSCLC.</w:t>
      </w:r>
      <w:r w:rsidR="007C6B03">
        <w:rPr>
          <w:rFonts w:cs="Arial"/>
        </w:rPr>
        <w:t xml:space="preserve">  </w:t>
      </w:r>
      <w:r>
        <w:rPr>
          <w:rFonts w:cs="Arial"/>
        </w:rPr>
        <w:t>Aim 2. Systematic identification of Ras druggable synthetic lethal interactions using double sgRNA libraries and CRISPR/Cas9.</w:t>
      </w:r>
      <w:r w:rsidR="007C6B03">
        <w:rPr>
          <w:rFonts w:cs="Arial"/>
        </w:rPr>
        <w:t xml:space="preserve">  </w:t>
      </w:r>
      <w:r>
        <w:rPr>
          <w:rFonts w:cs="Arial"/>
        </w:rPr>
        <w:t>Aim 3. Validating KRAS Targets in spheroid, patient-derived xenograft, and drug combination models.</w:t>
      </w:r>
    </w:p>
    <w:p w14:paraId="474FDF50" w14:textId="77777777" w:rsidR="007563DE" w:rsidRDefault="007563DE" w:rsidP="007C6B03">
      <w:pPr>
        <w:tabs>
          <w:tab w:val="left" w:pos="3600"/>
        </w:tabs>
        <w:ind w:right="288"/>
        <w:rPr>
          <w:rFonts w:cs="Arial"/>
        </w:rPr>
      </w:pPr>
    </w:p>
    <w:p w14:paraId="5E36EAE9" w14:textId="12699EED" w:rsidR="007563DE" w:rsidRPr="007C6B03" w:rsidRDefault="007563DE" w:rsidP="007563DE">
      <w:pPr>
        <w:pStyle w:val="BodyText"/>
        <w:kinsoku w:val="0"/>
        <w:overflowPunct w:val="0"/>
        <w:spacing w:before="12"/>
        <w:rPr>
          <w:rStyle w:val="Strong"/>
          <w:rFonts w:cs="Arial"/>
          <w:b w:val="0"/>
          <w:bCs w:val="0"/>
        </w:rPr>
      </w:pPr>
      <w:r w:rsidRPr="001A060B">
        <w:rPr>
          <w:szCs w:val="22"/>
        </w:rPr>
        <w:t>1R01</w:t>
      </w:r>
      <w:r w:rsidRPr="001A060B">
        <w:rPr>
          <w:spacing w:val="-1"/>
          <w:szCs w:val="22"/>
        </w:rPr>
        <w:t>GM121565-01</w:t>
      </w:r>
      <w:r w:rsidRPr="001A060B">
        <w:rPr>
          <w:spacing w:val="-2"/>
          <w:szCs w:val="22"/>
        </w:rPr>
        <w:t xml:space="preserve"> </w:t>
      </w:r>
      <w:r w:rsidRPr="001A060B">
        <w:rPr>
          <w:szCs w:val="22"/>
        </w:rPr>
        <w:t>(Jackson</w:t>
      </w:r>
      <w:r w:rsidRPr="001A060B">
        <w:rPr>
          <w:spacing w:val="-2"/>
          <w:szCs w:val="22"/>
        </w:rPr>
        <w:t xml:space="preserve"> </w:t>
      </w:r>
      <w:r w:rsidRPr="001A060B">
        <w:rPr>
          <w:szCs w:val="22"/>
        </w:rPr>
        <w:t>(PI))</w:t>
      </w:r>
      <w:r>
        <w:rPr>
          <w:szCs w:val="22"/>
        </w:rPr>
        <w:t xml:space="preserve">  </w:t>
      </w:r>
      <w:r w:rsidRPr="001A060B">
        <w:rPr>
          <w:rFonts w:ascii="Trebuchet MS" w:hAnsi="Trebuchet MS" w:cs="Trebuchet MS"/>
          <w:spacing w:val="-1"/>
          <w:szCs w:val="22"/>
        </w:rPr>
        <w:t>09/01/2016</w:t>
      </w:r>
      <w:r w:rsidRPr="001A060B">
        <w:rPr>
          <w:rFonts w:ascii="Trebuchet MS" w:hAnsi="Trebuchet MS" w:cs="Trebuchet MS"/>
          <w:spacing w:val="1"/>
          <w:szCs w:val="22"/>
        </w:rPr>
        <w:t xml:space="preserve"> </w:t>
      </w:r>
      <w:r w:rsidRPr="001A060B">
        <w:rPr>
          <w:rFonts w:ascii="Trebuchet MS" w:hAnsi="Trebuchet MS" w:cs="Trebuchet MS"/>
          <w:szCs w:val="22"/>
        </w:rPr>
        <w:t>- 08/31/2021</w:t>
      </w:r>
      <w:r w:rsidRPr="001A060B">
        <w:rPr>
          <w:rFonts w:ascii="Trebuchet MS" w:hAnsi="Trebuchet MS" w:cs="Trebuchet MS"/>
          <w:szCs w:val="22"/>
        </w:rPr>
        <w:tab/>
      </w:r>
      <w:r w:rsidRPr="001A060B">
        <w:rPr>
          <w:rFonts w:ascii="Trebuchet MS" w:hAnsi="Trebuchet MS" w:cs="Trebuchet MS"/>
          <w:spacing w:val="-1"/>
          <w:szCs w:val="22"/>
        </w:rPr>
        <w:t>2.4</w:t>
      </w:r>
      <w:r w:rsidRPr="001A060B">
        <w:rPr>
          <w:rFonts w:ascii="Trebuchet MS" w:hAnsi="Trebuchet MS" w:cs="Trebuchet MS"/>
          <w:szCs w:val="22"/>
        </w:rPr>
        <w:t xml:space="preserve"> </w:t>
      </w:r>
      <w:r w:rsidRPr="001A060B">
        <w:rPr>
          <w:rFonts w:ascii="Trebuchet MS" w:hAnsi="Trebuchet MS" w:cs="Trebuchet MS"/>
          <w:spacing w:val="-1"/>
          <w:szCs w:val="22"/>
        </w:rPr>
        <w:t>calendar</w:t>
      </w:r>
      <w:r>
        <w:rPr>
          <w:rFonts w:ascii="Trebuchet MS" w:hAnsi="Trebuchet MS" w:cs="Trebuchet MS"/>
          <w:spacing w:val="-1"/>
          <w:szCs w:val="22"/>
        </w:rPr>
        <w:t xml:space="preserve"> </w:t>
      </w:r>
      <w:r w:rsidRPr="001A060B">
        <w:rPr>
          <w:szCs w:val="22"/>
        </w:rPr>
        <w:t>NIH</w:t>
      </w:r>
      <w:r>
        <w:rPr>
          <w:szCs w:val="22"/>
        </w:rPr>
        <w:tab/>
      </w:r>
      <w:r>
        <w:rPr>
          <w:rFonts w:ascii="ArialMT" w:hAnsi="ArialMT" w:cs="ArialMT"/>
          <w:sz w:val="20"/>
          <w:szCs w:val="20"/>
        </w:rPr>
        <w:t>$264,921 directs to Jackson lab (four year grant)</w:t>
      </w:r>
      <w:r>
        <w:rPr>
          <w:szCs w:val="22"/>
        </w:rPr>
        <w:t xml:space="preserve">  </w:t>
      </w:r>
      <w:r w:rsidRPr="007563DE">
        <w:rPr>
          <w:rFonts w:ascii="Trebuchet MS" w:hAnsi="Trebuchet MS" w:cs="Trebuchet MS"/>
          <w:bCs/>
          <w:iCs/>
          <w:szCs w:val="22"/>
        </w:rPr>
        <w:t>“</w:t>
      </w:r>
      <w:r w:rsidRPr="007563DE">
        <w:rPr>
          <w:rFonts w:ascii="Trebuchet MS" w:hAnsi="Trebuchet MS" w:cs="Trebuchet MS"/>
          <w:bCs/>
          <w:iCs/>
          <w:szCs w:val="22"/>
        </w:rPr>
        <w:t>Ciliary</w:t>
      </w:r>
      <w:r w:rsidRPr="007563DE">
        <w:rPr>
          <w:rFonts w:ascii="Trebuchet MS" w:hAnsi="Trebuchet MS" w:cs="Trebuchet MS"/>
          <w:bCs/>
          <w:iCs/>
          <w:spacing w:val="-7"/>
          <w:szCs w:val="22"/>
        </w:rPr>
        <w:t xml:space="preserve"> </w:t>
      </w:r>
      <w:r w:rsidRPr="007563DE">
        <w:rPr>
          <w:rFonts w:ascii="Trebuchet MS" w:hAnsi="Trebuchet MS" w:cs="Trebuchet MS"/>
          <w:bCs/>
          <w:iCs/>
          <w:szCs w:val="22"/>
        </w:rPr>
        <w:t>trafficking</w:t>
      </w:r>
      <w:r w:rsidRPr="007563DE">
        <w:rPr>
          <w:rFonts w:ascii="Trebuchet MS" w:hAnsi="Trebuchet MS" w:cs="Trebuchet MS"/>
          <w:bCs/>
          <w:iCs/>
          <w:spacing w:val="-7"/>
          <w:szCs w:val="22"/>
        </w:rPr>
        <w:t xml:space="preserve"> </w:t>
      </w:r>
      <w:r w:rsidRPr="007563DE">
        <w:rPr>
          <w:rFonts w:ascii="Trebuchet MS" w:hAnsi="Trebuchet MS" w:cs="Trebuchet MS"/>
          <w:bCs/>
          <w:iCs/>
          <w:szCs w:val="22"/>
        </w:rPr>
        <w:t>mechanisms</w:t>
      </w:r>
      <w:r w:rsidRPr="007563DE">
        <w:rPr>
          <w:rFonts w:ascii="Trebuchet MS" w:hAnsi="Trebuchet MS" w:cs="Trebuchet MS"/>
          <w:bCs/>
          <w:iCs/>
          <w:spacing w:val="-7"/>
          <w:szCs w:val="22"/>
        </w:rPr>
        <w:t xml:space="preserve"> </w:t>
      </w:r>
      <w:r w:rsidRPr="007563DE">
        <w:rPr>
          <w:rFonts w:ascii="Trebuchet MS" w:hAnsi="Trebuchet MS" w:cs="Trebuchet MS"/>
          <w:bCs/>
          <w:iCs/>
          <w:szCs w:val="22"/>
        </w:rPr>
        <w:t>underlying</w:t>
      </w:r>
      <w:r w:rsidRPr="007563DE">
        <w:rPr>
          <w:rFonts w:ascii="Trebuchet MS" w:hAnsi="Trebuchet MS" w:cs="Trebuchet MS"/>
          <w:bCs/>
          <w:iCs/>
          <w:spacing w:val="-6"/>
          <w:szCs w:val="22"/>
        </w:rPr>
        <w:t xml:space="preserve"> </w:t>
      </w:r>
      <w:r w:rsidRPr="007563DE">
        <w:rPr>
          <w:rFonts w:ascii="Trebuchet MS" w:hAnsi="Trebuchet MS" w:cs="Trebuchet MS"/>
          <w:bCs/>
          <w:iCs/>
          <w:szCs w:val="22"/>
        </w:rPr>
        <w:t>the</w:t>
      </w:r>
      <w:r w:rsidRPr="007563DE">
        <w:rPr>
          <w:rFonts w:ascii="Trebuchet MS" w:hAnsi="Trebuchet MS" w:cs="Trebuchet MS"/>
          <w:bCs/>
          <w:iCs/>
          <w:spacing w:val="-7"/>
          <w:szCs w:val="22"/>
        </w:rPr>
        <w:t xml:space="preserve"> </w:t>
      </w:r>
      <w:r w:rsidRPr="007563DE">
        <w:rPr>
          <w:rFonts w:ascii="Trebuchet MS" w:hAnsi="Trebuchet MS" w:cs="Trebuchet MS"/>
          <w:bCs/>
          <w:iCs/>
          <w:szCs w:val="22"/>
        </w:rPr>
        <w:t>human</w:t>
      </w:r>
      <w:r w:rsidRPr="007563DE">
        <w:rPr>
          <w:rFonts w:ascii="Trebuchet MS" w:hAnsi="Trebuchet MS" w:cs="Trebuchet MS"/>
          <w:bCs/>
          <w:iCs/>
          <w:spacing w:val="-7"/>
          <w:szCs w:val="22"/>
        </w:rPr>
        <w:t xml:space="preserve"> </w:t>
      </w:r>
      <w:r w:rsidRPr="007563DE">
        <w:rPr>
          <w:rFonts w:ascii="Trebuchet MS" w:hAnsi="Trebuchet MS" w:cs="Trebuchet MS"/>
          <w:bCs/>
          <w:iCs/>
          <w:szCs w:val="22"/>
        </w:rPr>
        <w:t>genetics</w:t>
      </w:r>
      <w:r w:rsidRPr="007563DE">
        <w:rPr>
          <w:rFonts w:ascii="Trebuchet MS" w:hAnsi="Trebuchet MS" w:cs="Trebuchet MS"/>
          <w:bCs/>
          <w:iCs/>
          <w:spacing w:val="-6"/>
          <w:szCs w:val="22"/>
        </w:rPr>
        <w:t xml:space="preserve"> </w:t>
      </w:r>
      <w:r w:rsidRPr="007563DE">
        <w:rPr>
          <w:rFonts w:ascii="Trebuchet MS" w:hAnsi="Trebuchet MS" w:cs="Trebuchet MS"/>
          <w:bCs/>
          <w:iCs/>
          <w:szCs w:val="22"/>
        </w:rPr>
        <w:t>of</w:t>
      </w:r>
      <w:r w:rsidRPr="007563DE">
        <w:rPr>
          <w:rFonts w:ascii="Trebuchet MS" w:hAnsi="Trebuchet MS" w:cs="Trebuchet MS"/>
          <w:bCs/>
          <w:iCs/>
          <w:spacing w:val="-7"/>
          <w:szCs w:val="22"/>
        </w:rPr>
        <w:t xml:space="preserve"> </w:t>
      </w:r>
      <w:r w:rsidRPr="007563DE">
        <w:rPr>
          <w:rFonts w:ascii="Trebuchet MS" w:hAnsi="Trebuchet MS" w:cs="Trebuchet MS"/>
          <w:bCs/>
          <w:iCs/>
          <w:spacing w:val="-1"/>
          <w:szCs w:val="22"/>
        </w:rPr>
        <w:t>obesity”</w:t>
      </w:r>
      <w:r w:rsidRPr="001A060B">
        <w:rPr>
          <w:rFonts w:ascii="Trebuchet MS" w:hAnsi="Trebuchet MS" w:cs="Trebuchet MS"/>
          <w:b/>
          <w:bCs/>
          <w:i/>
          <w:iCs/>
          <w:spacing w:val="27"/>
          <w:w w:val="99"/>
          <w:szCs w:val="22"/>
        </w:rPr>
        <w:t xml:space="preserve"> </w:t>
      </w:r>
      <w:r>
        <w:rPr>
          <w:rFonts w:ascii="Trebuchet MS" w:hAnsi="Trebuchet MS" w:cs="Trebuchet MS"/>
          <w:szCs w:val="22"/>
        </w:rPr>
        <w:t>M</w:t>
      </w:r>
      <w:r w:rsidRPr="001A060B">
        <w:rPr>
          <w:rFonts w:ascii="Trebuchet MS" w:hAnsi="Trebuchet MS" w:cs="Trebuchet MS"/>
          <w:szCs w:val="22"/>
        </w:rPr>
        <w:t>ajor</w:t>
      </w:r>
      <w:r w:rsidRPr="001A060B">
        <w:rPr>
          <w:rFonts w:ascii="Trebuchet MS" w:hAnsi="Trebuchet MS" w:cs="Trebuchet MS"/>
          <w:spacing w:val="-3"/>
          <w:szCs w:val="22"/>
        </w:rPr>
        <w:t xml:space="preserve"> </w:t>
      </w:r>
      <w:r w:rsidRPr="001A060B">
        <w:rPr>
          <w:rFonts w:ascii="Trebuchet MS" w:hAnsi="Trebuchet MS" w:cs="Trebuchet MS"/>
          <w:szCs w:val="22"/>
        </w:rPr>
        <w:t>goals</w:t>
      </w:r>
      <w:r w:rsidRPr="001A060B">
        <w:rPr>
          <w:rFonts w:ascii="Trebuchet MS" w:hAnsi="Trebuchet MS" w:cs="Trebuchet MS"/>
          <w:spacing w:val="-1"/>
          <w:szCs w:val="22"/>
        </w:rPr>
        <w:t>:</w:t>
      </w:r>
      <w:r>
        <w:rPr>
          <w:szCs w:val="22"/>
        </w:rPr>
        <w:t xml:space="preserve">1. </w:t>
      </w:r>
      <w:r w:rsidRPr="001A060B">
        <w:rPr>
          <w:szCs w:val="22"/>
        </w:rPr>
        <w:t>Determine</w:t>
      </w:r>
      <w:r w:rsidRPr="001A060B">
        <w:rPr>
          <w:spacing w:val="-3"/>
          <w:szCs w:val="22"/>
        </w:rPr>
        <w:t xml:space="preserve"> </w:t>
      </w:r>
      <w:r w:rsidRPr="001A060B">
        <w:rPr>
          <w:szCs w:val="22"/>
        </w:rPr>
        <w:t>the</w:t>
      </w:r>
      <w:r w:rsidRPr="001A060B">
        <w:rPr>
          <w:spacing w:val="-2"/>
          <w:szCs w:val="22"/>
        </w:rPr>
        <w:t xml:space="preserve"> </w:t>
      </w:r>
      <w:r w:rsidRPr="001A060B">
        <w:rPr>
          <w:szCs w:val="22"/>
        </w:rPr>
        <w:t>mechanism</w:t>
      </w:r>
      <w:r w:rsidRPr="001A060B">
        <w:rPr>
          <w:spacing w:val="-2"/>
          <w:szCs w:val="22"/>
        </w:rPr>
        <w:t xml:space="preserve"> </w:t>
      </w:r>
      <w:r w:rsidRPr="001A060B">
        <w:rPr>
          <w:szCs w:val="22"/>
        </w:rPr>
        <w:t>of</w:t>
      </w:r>
      <w:r w:rsidRPr="001A060B">
        <w:rPr>
          <w:spacing w:val="-2"/>
          <w:szCs w:val="22"/>
        </w:rPr>
        <w:t xml:space="preserve"> </w:t>
      </w:r>
      <w:r w:rsidRPr="001A060B">
        <w:rPr>
          <w:szCs w:val="22"/>
        </w:rPr>
        <w:t>regulation</w:t>
      </w:r>
      <w:r w:rsidRPr="001A060B">
        <w:rPr>
          <w:spacing w:val="-2"/>
          <w:szCs w:val="22"/>
        </w:rPr>
        <w:t xml:space="preserve"> </w:t>
      </w:r>
      <w:r w:rsidRPr="001A060B">
        <w:rPr>
          <w:szCs w:val="22"/>
        </w:rPr>
        <w:t>of</w:t>
      </w:r>
      <w:r w:rsidRPr="001A060B">
        <w:rPr>
          <w:spacing w:val="-2"/>
          <w:szCs w:val="22"/>
        </w:rPr>
        <w:t xml:space="preserve"> </w:t>
      </w:r>
      <w:r w:rsidRPr="001A060B">
        <w:rPr>
          <w:spacing w:val="-1"/>
          <w:szCs w:val="22"/>
        </w:rPr>
        <w:t>IFT-B-dependent</w:t>
      </w:r>
      <w:r w:rsidRPr="001A060B">
        <w:rPr>
          <w:spacing w:val="-2"/>
          <w:szCs w:val="22"/>
        </w:rPr>
        <w:t xml:space="preserve"> </w:t>
      </w:r>
      <w:r w:rsidRPr="001A060B">
        <w:rPr>
          <w:szCs w:val="22"/>
        </w:rPr>
        <w:t>ciliary</w:t>
      </w:r>
      <w:r w:rsidRPr="001A060B">
        <w:rPr>
          <w:spacing w:val="-2"/>
          <w:szCs w:val="22"/>
        </w:rPr>
        <w:t xml:space="preserve"> </w:t>
      </w:r>
      <w:r w:rsidRPr="001A060B">
        <w:rPr>
          <w:szCs w:val="22"/>
        </w:rPr>
        <w:t>trafficking</w:t>
      </w:r>
      <w:r w:rsidRPr="001A060B">
        <w:rPr>
          <w:spacing w:val="-2"/>
          <w:szCs w:val="22"/>
        </w:rPr>
        <w:t xml:space="preserve"> </w:t>
      </w:r>
      <w:r w:rsidRPr="001A060B">
        <w:rPr>
          <w:szCs w:val="22"/>
        </w:rPr>
        <w:t>by</w:t>
      </w:r>
      <w:r w:rsidRPr="001A060B">
        <w:rPr>
          <w:spacing w:val="-2"/>
          <w:szCs w:val="22"/>
        </w:rPr>
        <w:t xml:space="preserve"> </w:t>
      </w:r>
      <w:r w:rsidRPr="001A060B">
        <w:rPr>
          <w:spacing w:val="-1"/>
          <w:szCs w:val="22"/>
        </w:rPr>
        <w:t>the Cep19-</w:t>
      </w:r>
      <w:r w:rsidRPr="001A060B">
        <w:rPr>
          <w:spacing w:val="43"/>
          <w:szCs w:val="22"/>
        </w:rPr>
        <w:t xml:space="preserve"> </w:t>
      </w:r>
      <w:r w:rsidRPr="001A060B">
        <w:rPr>
          <w:spacing w:val="-1"/>
          <w:szCs w:val="22"/>
        </w:rPr>
        <w:t>Cep350-FOP-Rabl2B</w:t>
      </w:r>
      <w:r w:rsidRPr="001A060B">
        <w:rPr>
          <w:spacing w:val="-9"/>
          <w:szCs w:val="22"/>
        </w:rPr>
        <w:t xml:space="preserve"> </w:t>
      </w:r>
      <w:r w:rsidRPr="001A060B">
        <w:rPr>
          <w:spacing w:val="-1"/>
          <w:szCs w:val="22"/>
        </w:rPr>
        <w:t>complex.</w:t>
      </w:r>
      <w:r>
        <w:rPr>
          <w:szCs w:val="22"/>
        </w:rPr>
        <w:t xml:space="preserve"> 2. </w:t>
      </w:r>
      <w:r w:rsidRPr="001A060B">
        <w:rPr>
          <w:szCs w:val="22"/>
        </w:rPr>
        <w:t>Characterize</w:t>
      </w:r>
      <w:r w:rsidRPr="001A060B">
        <w:rPr>
          <w:spacing w:val="-3"/>
          <w:szCs w:val="22"/>
        </w:rPr>
        <w:t xml:space="preserve"> </w:t>
      </w:r>
      <w:r w:rsidRPr="001A060B">
        <w:rPr>
          <w:szCs w:val="22"/>
        </w:rPr>
        <w:t>the</w:t>
      </w:r>
      <w:r w:rsidRPr="001A060B">
        <w:rPr>
          <w:spacing w:val="-2"/>
          <w:szCs w:val="22"/>
        </w:rPr>
        <w:t xml:space="preserve"> </w:t>
      </w:r>
      <w:r w:rsidRPr="001A060B">
        <w:rPr>
          <w:spacing w:val="-1"/>
          <w:szCs w:val="22"/>
        </w:rPr>
        <w:t>Cep89-Cep164-Ankrd26</w:t>
      </w:r>
      <w:r w:rsidRPr="001A060B">
        <w:rPr>
          <w:spacing w:val="-2"/>
          <w:szCs w:val="22"/>
        </w:rPr>
        <w:t xml:space="preserve"> </w:t>
      </w:r>
      <w:r w:rsidRPr="001A060B">
        <w:rPr>
          <w:szCs w:val="22"/>
        </w:rPr>
        <w:t>DA</w:t>
      </w:r>
      <w:r w:rsidRPr="001A060B">
        <w:rPr>
          <w:spacing w:val="-2"/>
          <w:szCs w:val="22"/>
        </w:rPr>
        <w:t xml:space="preserve"> </w:t>
      </w:r>
      <w:r w:rsidRPr="001A060B">
        <w:rPr>
          <w:szCs w:val="22"/>
        </w:rPr>
        <w:t>protein</w:t>
      </w:r>
      <w:r w:rsidRPr="001A060B">
        <w:rPr>
          <w:spacing w:val="-3"/>
          <w:szCs w:val="22"/>
        </w:rPr>
        <w:t xml:space="preserve"> </w:t>
      </w:r>
      <w:r w:rsidRPr="001A060B">
        <w:rPr>
          <w:spacing w:val="-1"/>
          <w:szCs w:val="22"/>
        </w:rPr>
        <w:t>network.</w:t>
      </w:r>
      <w:r>
        <w:rPr>
          <w:szCs w:val="22"/>
        </w:rPr>
        <w:t xml:space="preserve">3. </w:t>
      </w:r>
      <w:r w:rsidRPr="001A060B">
        <w:rPr>
          <w:szCs w:val="22"/>
        </w:rPr>
        <w:t>Link</w:t>
      </w:r>
      <w:r w:rsidRPr="001A060B">
        <w:rPr>
          <w:spacing w:val="-2"/>
          <w:szCs w:val="22"/>
        </w:rPr>
        <w:t xml:space="preserve"> </w:t>
      </w:r>
      <w:r w:rsidRPr="001A060B">
        <w:rPr>
          <w:szCs w:val="22"/>
        </w:rPr>
        <w:t>cAMP,</w:t>
      </w:r>
      <w:r w:rsidRPr="001A060B">
        <w:rPr>
          <w:spacing w:val="-2"/>
          <w:szCs w:val="22"/>
        </w:rPr>
        <w:t xml:space="preserve"> </w:t>
      </w:r>
      <w:r w:rsidRPr="001A060B">
        <w:rPr>
          <w:szCs w:val="22"/>
        </w:rPr>
        <w:t>calcium</w:t>
      </w:r>
      <w:r w:rsidRPr="001A060B">
        <w:rPr>
          <w:spacing w:val="-2"/>
          <w:szCs w:val="22"/>
        </w:rPr>
        <w:t xml:space="preserve"> </w:t>
      </w:r>
      <w:r w:rsidRPr="001A060B">
        <w:rPr>
          <w:szCs w:val="22"/>
        </w:rPr>
        <w:t>and</w:t>
      </w:r>
      <w:r w:rsidRPr="001A060B">
        <w:rPr>
          <w:spacing w:val="-2"/>
          <w:szCs w:val="22"/>
        </w:rPr>
        <w:t xml:space="preserve"> </w:t>
      </w:r>
      <w:r w:rsidRPr="001A060B">
        <w:rPr>
          <w:szCs w:val="22"/>
        </w:rPr>
        <w:t>obesity</w:t>
      </w:r>
      <w:r w:rsidRPr="001A060B">
        <w:rPr>
          <w:spacing w:val="-2"/>
          <w:szCs w:val="22"/>
        </w:rPr>
        <w:t xml:space="preserve"> </w:t>
      </w:r>
      <w:r w:rsidRPr="001A060B">
        <w:rPr>
          <w:szCs w:val="22"/>
        </w:rPr>
        <w:t>signaling</w:t>
      </w:r>
      <w:r w:rsidRPr="001A060B">
        <w:rPr>
          <w:spacing w:val="-2"/>
          <w:szCs w:val="22"/>
        </w:rPr>
        <w:t xml:space="preserve"> </w:t>
      </w:r>
      <w:r w:rsidRPr="001A060B">
        <w:rPr>
          <w:szCs w:val="22"/>
        </w:rPr>
        <w:t>via</w:t>
      </w:r>
      <w:r w:rsidRPr="001A060B">
        <w:rPr>
          <w:spacing w:val="-2"/>
          <w:szCs w:val="22"/>
        </w:rPr>
        <w:t xml:space="preserve"> </w:t>
      </w:r>
      <w:r w:rsidRPr="001A060B">
        <w:rPr>
          <w:szCs w:val="22"/>
        </w:rPr>
        <w:t>the</w:t>
      </w:r>
      <w:r w:rsidRPr="001A060B">
        <w:rPr>
          <w:spacing w:val="-2"/>
          <w:szCs w:val="22"/>
        </w:rPr>
        <w:t xml:space="preserve"> </w:t>
      </w:r>
      <w:r w:rsidRPr="001A060B">
        <w:rPr>
          <w:szCs w:val="22"/>
        </w:rPr>
        <w:t>AC3/6</w:t>
      </w:r>
      <w:r w:rsidRPr="001A060B">
        <w:rPr>
          <w:spacing w:val="-2"/>
          <w:szCs w:val="22"/>
        </w:rPr>
        <w:t xml:space="preserve"> </w:t>
      </w:r>
      <w:r w:rsidRPr="001A060B">
        <w:rPr>
          <w:szCs w:val="22"/>
        </w:rPr>
        <w:t>and</w:t>
      </w:r>
      <w:r w:rsidRPr="001A060B">
        <w:rPr>
          <w:spacing w:val="-2"/>
          <w:szCs w:val="22"/>
        </w:rPr>
        <w:t xml:space="preserve"> </w:t>
      </w:r>
      <w:r w:rsidRPr="001A060B">
        <w:rPr>
          <w:spacing w:val="-1"/>
          <w:szCs w:val="22"/>
        </w:rPr>
        <w:t>Cep89-Ncs1</w:t>
      </w:r>
      <w:r w:rsidRPr="001A060B">
        <w:rPr>
          <w:spacing w:val="-2"/>
          <w:szCs w:val="22"/>
        </w:rPr>
        <w:t xml:space="preserve"> </w:t>
      </w:r>
      <w:r w:rsidRPr="001A060B">
        <w:rPr>
          <w:szCs w:val="22"/>
        </w:rPr>
        <w:t>modules.</w:t>
      </w:r>
      <w:r>
        <w:rPr>
          <w:szCs w:val="22"/>
        </w:rPr>
        <w:t xml:space="preserve"> 4. </w:t>
      </w:r>
      <w:r w:rsidRPr="001A060B">
        <w:rPr>
          <w:szCs w:val="22"/>
        </w:rPr>
        <w:t>Connect</w:t>
      </w:r>
      <w:r w:rsidRPr="001A060B">
        <w:rPr>
          <w:spacing w:val="-2"/>
          <w:szCs w:val="22"/>
        </w:rPr>
        <w:t xml:space="preserve"> </w:t>
      </w:r>
      <w:r w:rsidRPr="001A060B">
        <w:rPr>
          <w:szCs w:val="22"/>
        </w:rPr>
        <w:t>ciliary</w:t>
      </w:r>
      <w:r w:rsidRPr="001A060B">
        <w:rPr>
          <w:spacing w:val="-1"/>
          <w:szCs w:val="22"/>
        </w:rPr>
        <w:t xml:space="preserve"> </w:t>
      </w:r>
      <w:r w:rsidRPr="001A060B">
        <w:rPr>
          <w:szCs w:val="22"/>
        </w:rPr>
        <w:t>cell</w:t>
      </w:r>
      <w:r w:rsidRPr="001A060B">
        <w:rPr>
          <w:spacing w:val="-2"/>
          <w:szCs w:val="22"/>
        </w:rPr>
        <w:t xml:space="preserve"> </w:t>
      </w:r>
      <w:r w:rsidRPr="001A060B">
        <w:rPr>
          <w:szCs w:val="22"/>
        </w:rPr>
        <w:t>biology</w:t>
      </w:r>
      <w:r w:rsidRPr="001A060B">
        <w:rPr>
          <w:spacing w:val="-1"/>
          <w:szCs w:val="22"/>
        </w:rPr>
        <w:t xml:space="preserve"> </w:t>
      </w:r>
      <w:r w:rsidRPr="001A060B">
        <w:rPr>
          <w:szCs w:val="22"/>
        </w:rPr>
        <w:t>to</w:t>
      </w:r>
      <w:r w:rsidRPr="001A060B">
        <w:rPr>
          <w:spacing w:val="-2"/>
          <w:szCs w:val="22"/>
        </w:rPr>
        <w:t xml:space="preserve"> </w:t>
      </w:r>
      <w:r w:rsidRPr="001A060B">
        <w:rPr>
          <w:szCs w:val="22"/>
        </w:rPr>
        <w:t>obesity</w:t>
      </w:r>
      <w:r w:rsidRPr="001A060B">
        <w:rPr>
          <w:spacing w:val="-1"/>
          <w:szCs w:val="22"/>
        </w:rPr>
        <w:t xml:space="preserve"> </w:t>
      </w:r>
      <w:r w:rsidRPr="001A060B">
        <w:rPr>
          <w:szCs w:val="22"/>
        </w:rPr>
        <w:t>signaling</w:t>
      </w:r>
      <w:r w:rsidRPr="001A060B">
        <w:rPr>
          <w:spacing w:val="-2"/>
          <w:szCs w:val="22"/>
        </w:rPr>
        <w:t xml:space="preserve"> </w:t>
      </w:r>
      <w:r w:rsidRPr="001A060B">
        <w:rPr>
          <w:szCs w:val="22"/>
        </w:rPr>
        <w:t>in</w:t>
      </w:r>
      <w:r w:rsidRPr="001A060B">
        <w:rPr>
          <w:spacing w:val="-1"/>
          <w:szCs w:val="22"/>
        </w:rPr>
        <w:t xml:space="preserve"> </w:t>
      </w:r>
      <w:r w:rsidRPr="001A060B">
        <w:rPr>
          <w:szCs w:val="22"/>
        </w:rPr>
        <w:t>mouse</w:t>
      </w:r>
      <w:r w:rsidRPr="001A060B">
        <w:rPr>
          <w:spacing w:val="-1"/>
          <w:szCs w:val="22"/>
        </w:rPr>
        <w:t xml:space="preserve"> </w:t>
      </w:r>
      <w:r w:rsidRPr="001A060B">
        <w:rPr>
          <w:szCs w:val="22"/>
        </w:rPr>
        <w:t>models</w:t>
      </w:r>
      <w:r w:rsidRPr="001A060B">
        <w:rPr>
          <w:spacing w:val="-2"/>
          <w:szCs w:val="22"/>
        </w:rPr>
        <w:t xml:space="preserve"> </w:t>
      </w:r>
      <w:r w:rsidRPr="001A060B">
        <w:rPr>
          <w:szCs w:val="22"/>
        </w:rPr>
        <w:t>and</w:t>
      </w:r>
      <w:r w:rsidRPr="001A060B">
        <w:rPr>
          <w:spacing w:val="-1"/>
          <w:szCs w:val="22"/>
        </w:rPr>
        <w:t xml:space="preserve"> </w:t>
      </w:r>
      <w:r w:rsidRPr="001A060B">
        <w:rPr>
          <w:szCs w:val="22"/>
        </w:rPr>
        <w:t>patient</w:t>
      </w:r>
      <w:r w:rsidRPr="001A060B">
        <w:rPr>
          <w:spacing w:val="-2"/>
          <w:szCs w:val="22"/>
        </w:rPr>
        <w:t xml:space="preserve"> </w:t>
      </w:r>
      <w:r>
        <w:rPr>
          <w:szCs w:val="22"/>
        </w:rPr>
        <w:t>population.</w:t>
      </w:r>
      <w:r w:rsidRPr="001A060B">
        <w:rPr>
          <w:szCs w:val="22"/>
        </w:rPr>
        <w:t xml:space="preserve"> </w:t>
      </w:r>
    </w:p>
    <w:sectPr w:rsidR="007563DE" w:rsidRPr="007C6B03" w:rsidSect="007C6B03">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6794AE" w14:textId="77777777" w:rsidR="00C943C4" w:rsidRDefault="00C943C4">
      <w:r>
        <w:separator/>
      </w:r>
    </w:p>
  </w:endnote>
  <w:endnote w:type="continuationSeparator" w:id="0">
    <w:p w14:paraId="1F518468" w14:textId="77777777" w:rsidR="00C943C4" w:rsidRDefault="00C94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Segoe UI">
    <w:altName w:val="Calibri"/>
    <w:charset w:val="00"/>
    <w:family w:val="swiss"/>
    <w:pitch w:val="variable"/>
    <w:sig w:usb0="E4002EFF" w:usb1="C000E47F" w:usb2="00000009" w:usb3="00000000" w:csb0="000001FF" w:csb1="00000000"/>
  </w:font>
  <w:font w:name="ArialMT">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90F11" w14:textId="77777777" w:rsidR="00C943C4" w:rsidRDefault="00C943C4">
      <w:r>
        <w:separator/>
      </w:r>
    </w:p>
  </w:footnote>
  <w:footnote w:type="continuationSeparator" w:id="0">
    <w:p w14:paraId="46B90410" w14:textId="77777777" w:rsidR="00C943C4" w:rsidRDefault="00C943C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nsid w:val="00000403"/>
    <w:multiLevelType w:val="multilevel"/>
    <w:tmpl w:val="00000886"/>
    <w:lvl w:ilvl="0">
      <w:start w:val="1"/>
      <w:numFmt w:val="decimal"/>
      <w:lvlText w:val="%1)"/>
      <w:lvlJc w:val="left"/>
      <w:pPr>
        <w:ind w:left="820" w:hanging="360"/>
      </w:pPr>
      <w:rPr>
        <w:rFonts w:ascii="Arial" w:hAnsi="Arial" w:cs="Arial"/>
        <w:b w:val="0"/>
        <w:bCs w:val="0"/>
        <w:sz w:val="24"/>
        <w:szCs w:val="24"/>
      </w:rPr>
    </w:lvl>
    <w:lvl w:ilvl="1">
      <w:numFmt w:val="bullet"/>
      <w:lvlText w:val="•"/>
      <w:lvlJc w:val="left"/>
      <w:pPr>
        <w:ind w:left="1818" w:hanging="360"/>
      </w:pPr>
    </w:lvl>
    <w:lvl w:ilvl="2">
      <w:numFmt w:val="bullet"/>
      <w:lvlText w:val="•"/>
      <w:lvlJc w:val="left"/>
      <w:pPr>
        <w:ind w:left="2816" w:hanging="360"/>
      </w:pPr>
    </w:lvl>
    <w:lvl w:ilvl="3">
      <w:numFmt w:val="bullet"/>
      <w:lvlText w:val="•"/>
      <w:lvlJc w:val="left"/>
      <w:pPr>
        <w:ind w:left="3814" w:hanging="360"/>
      </w:pPr>
    </w:lvl>
    <w:lvl w:ilvl="4">
      <w:numFmt w:val="bullet"/>
      <w:lvlText w:val="•"/>
      <w:lvlJc w:val="left"/>
      <w:pPr>
        <w:ind w:left="4812" w:hanging="360"/>
      </w:pPr>
    </w:lvl>
    <w:lvl w:ilvl="5">
      <w:numFmt w:val="bullet"/>
      <w:lvlText w:val="•"/>
      <w:lvlJc w:val="left"/>
      <w:pPr>
        <w:ind w:left="5810" w:hanging="360"/>
      </w:pPr>
    </w:lvl>
    <w:lvl w:ilvl="6">
      <w:numFmt w:val="bullet"/>
      <w:lvlText w:val="•"/>
      <w:lvlJc w:val="left"/>
      <w:pPr>
        <w:ind w:left="6808" w:hanging="360"/>
      </w:pPr>
    </w:lvl>
    <w:lvl w:ilvl="7">
      <w:numFmt w:val="bullet"/>
      <w:lvlText w:val="•"/>
      <w:lvlJc w:val="left"/>
      <w:pPr>
        <w:ind w:left="7806" w:hanging="360"/>
      </w:pPr>
    </w:lvl>
    <w:lvl w:ilvl="8">
      <w:numFmt w:val="bullet"/>
      <w:lvlText w:val="•"/>
      <w:lvlJc w:val="left"/>
      <w:pPr>
        <w:ind w:left="8804" w:hanging="360"/>
      </w:pPr>
    </w:lvl>
  </w:abstractNum>
  <w:abstractNum w:abstractNumId="11">
    <w:nsid w:val="00000404"/>
    <w:multiLevelType w:val="multilevel"/>
    <w:tmpl w:val="00000887"/>
    <w:lvl w:ilvl="0">
      <w:start w:val="1"/>
      <w:numFmt w:val="decimal"/>
      <w:lvlText w:val="%1)"/>
      <w:lvlJc w:val="left"/>
      <w:pPr>
        <w:ind w:left="820" w:hanging="360"/>
      </w:pPr>
      <w:rPr>
        <w:rFonts w:ascii="Arial" w:hAnsi="Arial" w:cs="Arial"/>
        <w:b w:val="0"/>
        <w:bCs w:val="0"/>
        <w:sz w:val="24"/>
        <w:szCs w:val="24"/>
      </w:rPr>
    </w:lvl>
    <w:lvl w:ilvl="1">
      <w:numFmt w:val="bullet"/>
      <w:lvlText w:val="•"/>
      <w:lvlJc w:val="left"/>
      <w:pPr>
        <w:ind w:left="1818" w:hanging="360"/>
      </w:pPr>
    </w:lvl>
    <w:lvl w:ilvl="2">
      <w:numFmt w:val="bullet"/>
      <w:lvlText w:val="•"/>
      <w:lvlJc w:val="left"/>
      <w:pPr>
        <w:ind w:left="2816" w:hanging="360"/>
      </w:pPr>
    </w:lvl>
    <w:lvl w:ilvl="3">
      <w:numFmt w:val="bullet"/>
      <w:lvlText w:val="•"/>
      <w:lvlJc w:val="left"/>
      <w:pPr>
        <w:ind w:left="3814" w:hanging="360"/>
      </w:pPr>
    </w:lvl>
    <w:lvl w:ilvl="4">
      <w:numFmt w:val="bullet"/>
      <w:lvlText w:val="•"/>
      <w:lvlJc w:val="left"/>
      <w:pPr>
        <w:ind w:left="4812" w:hanging="360"/>
      </w:pPr>
    </w:lvl>
    <w:lvl w:ilvl="5">
      <w:numFmt w:val="bullet"/>
      <w:lvlText w:val="•"/>
      <w:lvlJc w:val="left"/>
      <w:pPr>
        <w:ind w:left="5810" w:hanging="360"/>
      </w:pPr>
    </w:lvl>
    <w:lvl w:ilvl="6">
      <w:numFmt w:val="bullet"/>
      <w:lvlText w:val="•"/>
      <w:lvlJc w:val="left"/>
      <w:pPr>
        <w:ind w:left="6808" w:hanging="360"/>
      </w:pPr>
    </w:lvl>
    <w:lvl w:ilvl="7">
      <w:numFmt w:val="bullet"/>
      <w:lvlText w:val="•"/>
      <w:lvlJc w:val="left"/>
      <w:pPr>
        <w:ind w:left="7806" w:hanging="360"/>
      </w:pPr>
    </w:lvl>
    <w:lvl w:ilvl="8">
      <w:numFmt w:val="bullet"/>
      <w:lvlText w:val="•"/>
      <w:lvlJc w:val="left"/>
      <w:pPr>
        <w:ind w:left="8804" w:hanging="360"/>
      </w:pPr>
    </w:lvl>
  </w:abstractNum>
  <w:abstractNum w:abstractNumId="12">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4">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6">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5"/>
  </w:num>
  <w:num w:numId="13">
    <w:abstractNumId w:val="13"/>
  </w:num>
  <w:num w:numId="14">
    <w:abstractNumId w:val="18"/>
  </w:num>
  <w:num w:numId="15">
    <w:abstractNumId w:val="16"/>
  </w:num>
  <w:num w:numId="16">
    <w:abstractNumId w:val="17"/>
  </w:num>
  <w:num w:numId="17">
    <w:abstractNumId w:val="12"/>
  </w:num>
  <w:num w:numId="18">
    <w:abstractNumId w:val="14"/>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A45"/>
    <w:rsid w:val="00007231"/>
    <w:rsid w:val="0002296C"/>
    <w:rsid w:val="00023A7A"/>
    <w:rsid w:val="00067621"/>
    <w:rsid w:val="00084466"/>
    <w:rsid w:val="000E3BEC"/>
    <w:rsid w:val="00122EB3"/>
    <w:rsid w:val="00132CA6"/>
    <w:rsid w:val="0014571A"/>
    <w:rsid w:val="0015356D"/>
    <w:rsid w:val="00170D87"/>
    <w:rsid w:val="00177D49"/>
    <w:rsid w:val="001C065C"/>
    <w:rsid w:val="002506F6"/>
    <w:rsid w:val="0027606E"/>
    <w:rsid w:val="0028051C"/>
    <w:rsid w:val="002A70D9"/>
    <w:rsid w:val="002B7443"/>
    <w:rsid w:val="002D7520"/>
    <w:rsid w:val="002E2CA2"/>
    <w:rsid w:val="002E5125"/>
    <w:rsid w:val="00321A19"/>
    <w:rsid w:val="0035045F"/>
    <w:rsid w:val="0037667F"/>
    <w:rsid w:val="00382AB6"/>
    <w:rsid w:val="00383712"/>
    <w:rsid w:val="00384824"/>
    <w:rsid w:val="003C2647"/>
    <w:rsid w:val="003C3740"/>
    <w:rsid w:val="003C62D6"/>
    <w:rsid w:val="003D2399"/>
    <w:rsid w:val="003E3A40"/>
    <w:rsid w:val="003E4A92"/>
    <w:rsid w:val="003F6A45"/>
    <w:rsid w:val="00432346"/>
    <w:rsid w:val="00441300"/>
    <w:rsid w:val="00447F3A"/>
    <w:rsid w:val="004759D9"/>
    <w:rsid w:val="0049068A"/>
    <w:rsid w:val="004A3FC8"/>
    <w:rsid w:val="00503B57"/>
    <w:rsid w:val="005145BB"/>
    <w:rsid w:val="00517BFD"/>
    <w:rsid w:val="0054471F"/>
    <w:rsid w:val="005461F3"/>
    <w:rsid w:val="00547118"/>
    <w:rsid w:val="00547AC9"/>
    <w:rsid w:val="00592740"/>
    <w:rsid w:val="005C2BDD"/>
    <w:rsid w:val="005C2CF8"/>
    <w:rsid w:val="005C47A8"/>
    <w:rsid w:val="005E406E"/>
    <w:rsid w:val="005F5F51"/>
    <w:rsid w:val="00601C69"/>
    <w:rsid w:val="00616BCC"/>
    <w:rsid w:val="00624261"/>
    <w:rsid w:val="00646AF9"/>
    <w:rsid w:val="00656AB8"/>
    <w:rsid w:val="006609B6"/>
    <w:rsid w:val="0068699D"/>
    <w:rsid w:val="006A353C"/>
    <w:rsid w:val="006A56FC"/>
    <w:rsid w:val="006B2D1C"/>
    <w:rsid w:val="006C1E1F"/>
    <w:rsid w:val="006E6FB5"/>
    <w:rsid w:val="007050F5"/>
    <w:rsid w:val="0071140F"/>
    <w:rsid w:val="00722C8F"/>
    <w:rsid w:val="0073305B"/>
    <w:rsid w:val="007563DE"/>
    <w:rsid w:val="00763DE9"/>
    <w:rsid w:val="00781234"/>
    <w:rsid w:val="007B7AF3"/>
    <w:rsid w:val="007C6B03"/>
    <w:rsid w:val="008073EB"/>
    <w:rsid w:val="008371A9"/>
    <w:rsid w:val="00843027"/>
    <w:rsid w:val="00873917"/>
    <w:rsid w:val="00874EBC"/>
    <w:rsid w:val="009211D3"/>
    <w:rsid w:val="00933173"/>
    <w:rsid w:val="00934124"/>
    <w:rsid w:val="00952A27"/>
    <w:rsid w:val="00977FA5"/>
    <w:rsid w:val="009D7E97"/>
    <w:rsid w:val="009E52CA"/>
    <w:rsid w:val="009E7531"/>
    <w:rsid w:val="009F72E5"/>
    <w:rsid w:val="00A03FFA"/>
    <w:rsid w:val="00A04942"/>
    <w:rsid w:val="00A04B52"/>
    <w:rsid w:val="00A1469B"/>
    <w:rsid w:val="00A14EF5"/>
    <w:rsid w:val="00A26D0F"/>
    <w:rsid w:val="00A42D9B"/>
    <w:rsid w:val="00A55D1D"/>
    <w:rsid w:val="00A63D7C"/>
    <w:rsid w:val="00A7514C"/>
    <w:rsid w:val="00A8122C"/>
    <w:rsid w:val="00A83312"/>
    <w:rsid w:val="00AE01E6"/>
    <w:rsid w:val="00AE41C4"/>
    <w:rsid w:val="00BB7F9C"/>
    <w:rsid w:val="00C05C55"/>
    <w:rsid w:val="00C076C6"/>
    <w:rsid w:val="00C1247F"/>
    <w:rsid w:val="00C137DA"/>
    <w:rsid w:val="00C3113F"/>
    <w:rsid w:val="00C4536F"/>
    <w:rsid w:val="00C46ADA"/>
    <w:rsid w:val="00C85025"/>
    <w:rsid w:val="00C918BD"/>
    <w:rsid w:val="00C943C4"/>
    <w:rsid w:val="00C94E59"/>
    <w:rsid w:val="00CA680A"/>
    <w:rsid w:val="00CC4A1B"/>
    <w:rsid w:val="00CE0951"/>
    <w:rsid w:val="00CF68A2"/>
    <w:rsid w:val="00D24564"/>
    <w:rsid w:val="00D3779E"/>
    <w:rsid w:val="00D679E5"/>
    <w:rsid w:val="00D74391"/>
    <w:rsid w:val="00D83360"/>
    <w:rsid w:val="00DB7B85"/>
    <w:rsid w:val="00DD31B4"/>
    <w:rsid w:val="00DF7645"/>
    <w:rsid w:val="00E047AD"/>
    <w:rsid w:val="00E127A1"/>
    <w:rsid w:val="00E20E6D"/>
    <w:rsid w:val="00E355C2"/>
    <w:rsid w:val="00E41D13"/>
    <w:rsid w:val="00E53B95"/>
    <w:rsid w:val="00E67A05"/>
    <w:rsid w:val="00E74AB7"/>
    <w:rsid w:val="00E81FE1"/>
    <w:rsid w:val="00E90203"/>
    <w:rsid w:val="00EA0405"/>
    <w:rsid w:val="00ED35D7"/>
    <w:rsid w:val="00EF4C32"/>
    <w:rsid w:val="00EF69CD"/>
    <w:rsid w:val="00F02126"/>
    <w:rsid w:val="00F07AB3"/>
    <w:rsid w:val="00F262AB"/>
    <w:rsid w:val="00F4558B"/>
    <w:rsid w:val="00F7284D"/>
    <w:rsid w:val="00F94A2B"/>
    <w:rsid w:val="00FA00C6"/>
    <w:rsid w:val="00FC5F9E"/>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F5C49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2760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yperlink" Target="http://www.ncbi.nlm.nih.gov/sites/myncbi/1NKKVe-Fm6iQF/bibliography/47841085/public/?sort=date&amp;direction=asce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Working</File_x0020_Status>
    <Category xmlns="97b54082-1e85-426d-afc6-16ad99d216c1">WIP</Category>
    <CR_ID xmlns="97b54082-1e85-426d-afc6-16ad99d216c1" xsi:nil="true"/>
    <Form_x0020_Set xmlns="97b54082-1e85-426d-afc6-16ad99d216c1">SF424</Form_x0020_Set>
    <Test_x0020_Comment xmlns="97b54082-1e85-426d-afc6-16ad99d216c1">10/26/15 source doc
11/2 JAW QC'ed
11/2 JAW Tracked Version Created</Test_x0020_Comment>
    <OMB_x0020_No_x002e_ xmlns="97b54082-1e85-426d-afc6-16ad99d216c1">0925-0046</OMB_x0020_No_x002e_>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6" ma:contentTypeDescription="Create a new document." ma:contentTypeScope="" ma:versionID="0a46e840f215d781c8da83e244812a13">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719fc51a06a3561438e061b71f8c213b"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minOccurs="0"/>
                <xsd:element ref="ns2:CR_ID" minOccurs="0"/>
                <xsd:element ref="ns2:Form_x0020_Set" minOccurs="0"/>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nillable="true"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showField="ID">
      <xsd:simpleType>
        <xsd:restriction base="dms:Lookup"/>
      </xsd:simpleType>
    </xsd:element>
    <xsd:element name="Form_x0020_Set" ma:index="11" nillable="true"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2.xml><?xml version="1.0" encoding="utf-8"?>
<ds:datastoreItem xmlns:ds="http://schemas.openxmlformats.org/officeDocument/2006/customXml" ds:itemID="{65F390C9-F948-4069-B66B-4EC6BF8B4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2611</Words>
  <Characters>14883</Characters>
  <Application>Microsoft Macintosh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17460</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Peter Jackson</cp:lastModifiedBy>
  <cp:revision>4</cp:revision>
  <cp:lastPrinted>2011-03-11T19:43:00Z</cp:lastPrinted>
  <dcterms:created xsi:type="dcterms:W3CDTF">2017-02-15T17:23:00Z</dcterms:created>
  <dcterms:modified xsi:type="dcterms:W3CDTF">2017-03-17T18:28:00Z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