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56" w:type="dxa"/>
        <w:jc w:val="center"/>
        <w:tblLayout w:type="fixed"/>
        <w:tblCellMar>
          <w:left w:w="115" w:type="dxa"/>
          <w:right w:w="115" w:type="dxa"/>
        </w:tblCellMar>
        <w:tblLook w:val="0000" w:firstRow="0" w:lastRow="0" w:firstColumn="0" w:lastColumn="0" w:noHBand="0" w:noVBand="0"/>
      </w:tblPr>
      <w:tblGrid>
        <w:gridCol w:w="5058"/>
        <w:gridCol w:w="270"/>
        <w:gridCol w:w="1241"/>
        <w:gridCol w:w="1422"/>
        <w:gridCol w:w="2665"/>
      </w:tblGrid>
      <w:tr w:rsidR="0054471F" w14:paraId="7AF6A7CE" w14:textId="77777777" w:rsidTr="00F12653">
        <w:trPr>
          <w:trHeight w:hRule="exact" w:val="735"/>
          <w:jc w:val="center"/>
        </w:trPr>
        <w:tc>
          <w:tcPr>
            <w:tcW w:w="10656" w:type="dxa"/>
            <w:gridSpan w:val="5"/>
            <w:tcBorders>
              <w:top w:val="single" w:sz="6" w:space="0" w:color="auto"/>
              <w:left w:val="nil"/>
              <w:bottom w:val="single" w:sz="6" w:space="0" w:color="auto"/>
              <w:right w:val="nil"/>
            </w:tcBorders>
            <w:vAlign w:val="center"/>
          </w:tcPr>
          <w:p w14:paraId="6EE8FB1E" w14:textId="77777777" w:rsidR="0054471F" w:rsidRPr="00F12653" w:rsidRDefault="0054471F" w:rsidP="00486F2F">
            <w:pPr>
              <w:pStyle w:val="DataField11pt-Single"/>
              <w:rPr>
                <w:b/>
              </w:rPr>
            </w:pPr>
            <w:r w:rsidRPr="00F12653">
              <w:rPr>
                <w:b/>
              </w:rPr>
              <w:t>BIOGRAPHICAL SKETCH</w:t>
            </w:r>
          </w:p>
        </w:tc>
      </w:tr>
      <w:tr w:rsidR="009F72E5" w14:paraId="33193616" w14:textId="77777777">
        <w:trPr>
          <w:trHeigh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6390780E" w14:textId="77777777" w:rsidR="009F72E5" w:rsidRDefault="009F72E5">
            <w:pPr>
              <w:pStyle w:val="FormFieldCaption"/>
            </w:pPr>
            <w:r>
              <w:t>NAME</w:t>
            </w:r>
          </w:p>
          <w:p w14:paraId="385A926B" w14:textId="77777777" w:rsidR="009F72E5" w:rsidRPr="009C2969" w:rsidRDefault="009C2969">
            <w:pPr>
              <w:pStyle w:val="DataField11pt-Single"/>
              <w:rPr>
                <w:b/>
              </w:rPr>
            </w:pPr>
            <w:r>
              <w:rPr>
                <w:b/>
              </w:rPr>
              <w:t>David J.</w:t>
            </w:r>
            <w:r w:rsidR="00F12653">
              <w:rPr>
                <w:b/>
              </w:rPr>
              <w:t xml:space="preserve"> Clark</w:t>
            </w:r>
          </w:p>
        </w:tc>
        <w:tc>
          <w:tcPr>
            <w:tcW w:w="5328" w:type="dxa"/>
            <w:gridSpan w:val="3"/>
            <w:vMerge w:val="restart"/>
            <w:tcBorders>
              <w:top w:val="single" w:sz="6" w:space="0" w:color="auto"/>
              <w:left w:val="nil"/>
              <w:right w:val="nil"/>
            </w:tcBorders>
            <w:tcMar>
              <w:top w:w="14" w:type="dxa"/>
              <w:bottom w:w="14" w:type="dxa"/>
            </w:tcMar>
          </w:tcPr>
          <w:p w14:paraId="05AFEAD7" w14:textId="77777777" w:rsidR="009F72E5" w:rsidRDefault="009F72E5">
            <w:pPr>
              <w:pStyle w:val="FormFieldCaption"/>
            </w:pPr>
            <w:r>
              <w:t>POSITION TITLE</w:t>
            </w:r>
          </w:p>
          <w:p w14:paraId="48D0F706" w14:textId="77777777" w:rsidR="009C2969" w:rsidRDefault="009C2969">
            <w:pPr>
              <w:pStyle w:val="DataField11pt-Single"/>
            </w:pPr>
          </w:p>
          <w:p w14:paraId="13A16E82" w14:textId="77777777" w:rsidR="009F72E5" w:rsidRDefault="009C2969">
            <w:pPr>
              <w:pStyle w:val="DataField11pt-Single"/>
            </w:pPr>
            <w:r>
              <w:t>Professor of Anesthesiology</w:t>
            </w:r>
          </w:p>
        </w:tc>
      </w:tr>
      <w:tr w:rsidR="009F72E5" w14:paraId="47E2DF42" w14:textId="77777777">
        <w:trPr>
          <w:trHeight w:hRule="exac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693CC10F" w14:textId="77777777" w:rsidR="009F72E5" w:rsidRDefault="005C2BDD">
            <w:pPr>
              <w:pStyle w:val="FormFieldCaption"/>
            </w:pPr>
            <w:r>
              <w:t>eRA</w:t>
            </w:r>
            <w:r w:rsidR="006C1E1F">
              <w:t xml:space="preserve"> </w:t>
            </w:r>
            <w:r w:rsidR="009F72E5">
              <w:t>COMMONS USER NAME</w:t>
            </w:r>
            <w:r w:rsidR="00D76706">
              <w:t xml:space="preserve"> (credential, e.g., agency login)</w:t>
            </w:r>
          </w:p>
          <w:p w14:paraId="5AC738D6" w14:textId="77777777" w:rsidR="009F72E5" w:rsidRPr="001C54D2" w:rsidRDefault="009C2969" w:rsidP="009F72E5">
            <w:pPr>
              <w:pStyle w:val="DataField11pt-Single"/>
              <w:rPr>
                <w:b/>
              </w:rPr>
            </w:pPr>
            <w:r w:rsidRPr="001C54D2">
              <w:rPr>
                <w:b/>
              </w:rPr>
              <w:t>clark.david</w:t>
            </w:r>
          </w:p>
        </w:tc>
        <w:tc>
          <w:tcPr>
            <w:tcW w:w="5328" w:type="dxa"/>
            <w:gridSpan w:val="3"/>
            <w:vMerge/>
            <w:tcBorders>
              <w:left w:val="nil"/>
              <w:bottom w:val="single" w:sz="6" w:space="0" w:color="auto"/>
              <w:right w:val="nil"/>
            </w:tcBorders>
            <w:tcMar>
              <w:top w:w="14" w:type="dxa"/>
              <w:bottom w:w="14" w:type="dxa"/>
            </w:tcMar>
          </w:tcPr>
          <w:p w14:paraId="27DC4229" w14:textId="77777777" w:rsidR="009F72E5" w:rsidRDefault="009F72E5">
            <w:pPr>
              <w:pStyle w:val="FormFieldCaption"/>
            </w:pPr>
          </w:p>
        </w:tc>
      </w:tr>
      <w:tr w:rsidR="0054471F" w14:paraId="236C01A9" w14:textId="77777777">
        <w:trPr>
          <w:trHeight w:hRule="exact" w:val="432"/>
          <w:jc w:val="center"/>
        </w:trPr>
        <w:tc>
          <w:tcPr>
            <w:tcW w:w="10656" w:type="dxa"/>
            <w:gridSpan w:val="5"/>
            <w:tcBorders>
              <w:left w:val="nil"/>
              <w:bottom w:val="single" w:sz="6" w:space="0" w:color="auto"/>
            </w:tcBorders>
            <w:vAlign w:val="center"/>
          </w:tcPr>
          <w:p w14:paraId="659BC1F0" w14:textId="77777777" w:rsidR="0054471F" w:rsidRDefault="0054471F">
            <w:pPr>
              <w:pStyle w:val="FormFieldCaption"/>
            </w:pPr>
            <w:r>
              <w:t xml:space="preserve">EDUCATION/TRAINING  </w:t>
            </w:r>
          </w:p>
        </w:tc>
      </w:tr>
      <w:tr w:rsidR="0054471F" w14:paraId="6FB7E8AA" w14:textId="77777777">
        <w:trPr>
          <w:jc w:val="center"/>
        </w:trPr>
        <w:tc>
          <w:tcPr>
            <w:tcW w:w="5058" w:type="dxa"/>
            <w:tcBorders>
              <w:top w:val="single" w:sz="6" w:space="0" w:color="auto"/>
              <w:left w:val="nil"/>
              <w:bottom w:val="single" w:sz="6" w:space="0" w:color="auto"/>
              <w:right w:val="single" w:sz="6" w:space="0" w:color="auto"/>
            </w:tcBorders>
            <w:vAlign w:val="center"/>
          </w:tcPr>
          <w:p w14:paraId="01887256" w14:textId="77777777" w:rsidR="004D07F9" w:rsidRDefault="0054471F" w:rsidP="004D07F9">
            <w:pPr>
              <w:pStyle w:val="FormFieldCaption"/>
            </w:pPr>
            <w:r>
              <w:t>INSTITUTION AND LOCATION</w:t>
            </w:r>
          </w:p>
        </w:tc>
        <w:tc>
          <w:tcPr>
            <w:tcW w:w="1511" w:type="dxa"/>
            <w:gridSpan w:val="2"/>
            <w:tcBorders>
              <w:top w:val="single" w:sz="6" w:space="0" w:color="auto"/>
              <w:left w:val="nil"/>
              <w:bottom w:val="single" w:sz="6" w:space="0" w:color="auto"/>
              <w:right w:val="single" w:sz="6" w:space="0" w:color="auto"/>
            </w:tcBorders>
            <w:vAlign w:val="center"/>
          </w:tcPr>
          <w:p w14:paraId="6A96FAB9" w14:textId="77777777" w:rsidR="0054471F" w:rsidRDefault="0054471F">
            <w:pPr>
              <w:pStyle w:val="FormFieldCaption"/>
              <w:jc w:val="center"/>
            </w:pPr>
            <w:r>
              <w:t>DEGREE</w:t>
            </w:r>
          </w:p>
          <w:p w14:paraId="3D1D6EDD" w14:textId="77777777" w:rsidR="0054471F" w:rsidRDefault="0054471F">
            <w:pPr>
              <w:pStyle w:val="FormFieldCaption"/>
              <w:jc w:val="center"/>
              <w:rPr>
                <w:i/>
                <w:iCs/>
              </w:rPr>
            </w:pPr>
            <w:r>
              <w:rPr>
                <w:i/>
                <w:iCs/>
              </w:rPr>
              <w:t>(if applicable)</w:t>
            </w:r>
          </w:p>
        </w:tc>
        <w:tc>
          <w:tcPr>
            <w:tcW w:w="1422" w:type="dxa"/>
            <w:tcBorders>
              <w:top w:val="single" w:sz="6" w:space="0" w:color="auto"/>
              <w:left w:val="nil"/>
              <w:bottom w:val="single" w:sz="6" w:space="0" w:color="auto"/>
              <w:right w:val="single" w:sz="6" w:space="0" w:color="auto"/>
            </w:tcBorders>
            <w:vAlign w:val="center"/>
          </w:tcPr>
          <w:p w14:paraId="2D32E98E" w14:textId="77777777" w:rsidR="0054471F" w:rsidRDefault="00D76706">
            <w:pPr>
              <w:pStyle w:val="FormFieldCaption"/>
              <w:jc w:val="center"/>
            </w:pPr>
            <w:r>
              <w:t>MM/YY</w:t>
            </w:r>
          </w:p>
        </w:tc>
        <w:tc>
          <w:tcPr>
            <w:tcW w:w="2665" w:type="dxa"/>
            <w:tcBorders>
              <w:top w:val="single" w:sz="6" w:space="0" w:color="auto"/>
              <w:left w:val="single" w:sz="6" w:space="0" w:color="auto"/>
              <w:bottom w:val="single" w:sz="6" w:space="0" w:color="auto"/>
            </w:tcBorders>
            <w:vAlign w:val="center"/>
          </w:tcPr>
          <w:p w14:paraId="1536BB30" w14:textId="77777777" w:rsidR="0054471F" w:rsidRDefault="0054471F">
            <w:pPr>
              <w:pStyle w:val="FormFieldCaption"/>
              <w:jc w:val="center"/>
            </w:pPr>
            <w:r>
              <w:t>FIELD OF STUDY</w:t>
            </w:r>
          </w:p>
        </w:tc>
      </w:tr>
      <w:tr w:rsidR="0054471F" w:rsidRPr="00F12653" w14:paraId="05701BD2" w14:textId="77777777">
        <w:trPr>
          <w:jc w:val="center"/>
        </w:trPr>
        <w:tc>
          <w:tcPr>
            <w:tcW w:w="5058" w:type="dxa"/>
            <w:tcBorders>
              <w:top w:val="single" w:sz="6" w:space="0" w:color="auto"/>
              <w:left w:val="nil"/>
              <w:bottom w:val="nil"/>
              <w:right w:val="single" w:sz="4" w:space="0" w:color="auto"/>
            </w:tcBorders>
            <w:vAlign w:val="center"/>
          </w:tcPr>
          <w:p w14:paraId="7D65C5DA" w14:textId="77777777" w:rsidR="0054471F"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Carleton College, Northfield, MN</w:t>
            </w:r>
          </w:p>
        </w:tc>
        <w:tc>
          <w:tcPr>
            <w:tcW w:w="1511" w:type="dxa"/>
            <w:gridSpan w:val="2"/>
            <w:tcBorders>
              <w:top w:val="single" w:sz="6" w:space="0" w:color="auto"/>
              <w:left w:val="single" w:sz="4" w:space="0" w:color="auto"/>
              <w:bottom w:val="nil"/>
              <w:right w:val="single" w:sz="4" w:space="0" w:color="auto"/>
            </w:tcBorders>
            <w:vAlign w:val="center"/>
          </w:tcPr>
          <w:p w14:paraId="44644564" w14:textId="77777777" w:rsidR="0054471F" w:rsidRPr="00F12653" w:rsidRDefault="009C2969" w:rsidP="00D679E5">
            <w:pPr>
              <w:pStyle w:val="DataField11pt-Single"/>
              <w:jc w:val="center"/>
              <w:rPr>
                <w:szCs w:val="22"/>
              </w:rPr>
            </w:pPr>
            <w:r w:rsidRPr="00F12653">
              <w:rPr>
                <w:szCs w:val="22"/>
              </w:rPr>
              <w:t>B.A.</w:t>
            </w:r>
          </w:p>
        </w:tc>
        <w:tc>
          <w:tcPr>
            <w:tcW w:w="1422" w:type="dxa"/>
            <w:tcBorders>
              <w:top w:val="single" w:sz="6" w:space="0" w:color="auto"/>
              <w:left w:val="single" w:sz="4" w:space="0" w:color="auto"/>
              <w:bottom w:val="nil"/>
              <w:right w:val="single" w:sz="4" w:space="0" w:color="auto"/>
            </w:tcBorders>
            <w:vAlign w:val="center"/>
          </w:tcPr>
          <w:p w14:paraId="55C6D748" w14:textId="77777777" w:rsidR="0054471F" w:rsidRPr="00F12653" w:rsidRDefault="009C2969" w:rsidP="00D679E5">
            <w:pPr>
              <w:pStyle w:val="DataField11pt-Single"/>
              <w:jc w:val="center"/>
              <w:rPr>
                <w:szCs w:val="22"/>
              </w:rPr>
            </w:pPr>
            <w:r w:rsidRPr="00F12653">
              <w:rPr>
                <w:szCs w:val="22"/>
              </w:rPr>
              <w:t>06/85</w:t>
            </w:r>
          </w:p>
        </w:tc>
        <w:tc>
          <w:tcPr>
            <w:tcW w:w="2665" w:type="dxa"/>
            <w:tcBorders>
              <w:top w:val="single" w:sz="6" w:space="0" w:color="auto"/>
              <w:left w:val="single" w:sz="4" w:space="0" w:color="auto"/>
              <w:bottom w:val="nil"/>
              <w:right w:val="nil"/>
            </w:tcBorders>
            <w:vAlign w:val="center"/>
          </w:tcPr>
          <w:p w14:paraId="483DC9B6" w14:textId="77777777" w:rsidR="0054471F" w:rsidRPr="00F12653" w:rsidRDefault="009C2969" w:rsidP="00D679E5">
            <w:pPr>
              <w:pStyle w:val="DataField11pt-Single"/>
              <w:rPr>
                <w:szCs w:val="22"/>
              </w:rPr>
            </w:pPr>
            <w:r w:rsidRPr="00F12653">
              <w:rPr>
                <w:szCs w:val="22"/>
              </w:rPr>
              <w:t>Chemistry</w:t>
            </w:r>
          </w:p>
        </w:tc>
      </w:tr>
      <w:tr w:rsidR="0054471F" w:rsidRPr="00F12653" w14:paraId="141C3550" w14:textId="77777777">
        <w:trPr>
          <w:jc w:val="center"/>
        </w:trPr>
        <w:tc>
          <w:tcPr>
            <w:tcW w:w="5058" w:type="dxa"/>
            <w:tcBorders>
              <w:top w:val="nil"/>
              <w:left w:val="nil"/>
              <w:bottom w:val="nil"/>
              <w:right w:val="single" w:sz="4" w:space="0" w:color="auto"/>
            </w:tcBorders>
            <w:vAlign w:val="center"/>
          </w:tcPr>
          <w:p w14:paraId="38E7EC74" w14:textId="77777777" w:rsidR="0054471F"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Vanderbilt University, Nashville, TN</w:t>
            </w:r>
          </w:p>
        </w:tc>
        <w:tc>
          <w:tcPr>
            <w:tcW w:w="1511" w:type="dxa"/>
            <w:gridSpan w:val="2"/>
            <w:tcBorders>
              <w:top w:val="nil"/>
              <w:left w:val="single" w:sz="4" w:space="0" w:color="auto"/>
              <w:bottom w:val="nil"/>
              <w:right w:val="single" w:sz="4" w:space="0" w:color="auto"/>
            </w:tcBorders>
            <w:vAlign w:val="center"/>
          </w:tcPr>
          <w:p w14:paraId="3466FB94" w14:textId="77777777" w:rsidR="0054471F" w:rsidRPr="00F12653" w:rsidRDefault="009C2969" w:rsidP="00D679E5">
            <w:pPr>
              <w:pStyle w:val="DataField11pt-Single"/>
              <w:jc w:val="center"/>
              <w:rPr>
                <w:szCs w:val="22"/>
              </w:rPr>
            </w:pPr>
            <w:r w:rsidRPr="00F12653">
              <w:rPr>
                <w:szCs w:val="22"/>
              </w:rPr>
              <w:t>Ph.D.</w:t>
            </w:r>
          </w:p>
        </w:tc>
        <w:tc>
          <w:tcPr>
            <w:tcW w:w="1422" w:type="dxa"/>
            <w:tcBorders>
              <w:top w:val="nil"/>
              <w:left w:val="single" w:sz="4" w:space="0" w:color="auto"/>
              <w:bottom w:val="nil"/>
              <w:right w:val="single" w:sz="4" w:space="0" w:color="auto"/>
            </w:tcBorders>
            <w:vAlign w:val="center"/>
          </w:tcPr>
          <w:p w14:paraId="6DCE23A5" w14:textId="77777777" w:rsidR="0054471F" w:rsidRPr="00F12653" w:rsidRDefault="009C2969" w:rsidP="00D679E5">
            <w:pPr>
              <w:pStyle w:val="DataField11pt-Single"/>
              <w:jc w:val="center"/>
              <w:rPr>
                <w:szCs w:val="22"/>
              </w:rPr>
            </w:pPr>
            <w:r w:rsidRPr="00F12653">
              <w:rPr>
                <w:szCs w:val="22"/>
              </w:rPr>
              <w:t>06/91</w:t>
            </w:r>
          </w:p>
        </w:tc>
        <w:tc>
          <w:tcPr>
            <w:tcW w:w="2665" w:type="dxa"/>
            <w:tcBorders>
              <w:top w:val="nil"/>
              <w:left w:val="single" w:sz="4" w:space="0" w:color="auto"/>
              <w:bottom w:val="nil"/>
              <w:right w:val="nil"/>
            </w:tcBorders>
            <w:vAlign w:val="center"/>
          </w:tcPr>
          <w:p w14:paraId="183A6AB4" w14:textId="77777777" w:rsidR="0054471F" w:rsidRPr="00F12653" w:rsidRDefault="009C2969" w:rsidP="00D679E5">
            <w:pPr>
              <w:pStyle w:val="DataField11pt-Single"/>
              <w:rPr>
                <w:szCs w:val="22"/>
              </w:rPr>
            </w:pPr>
            <w:r w:rsidRPr="00F12653">
              <w:rPr>
                <w:szCs w:val="22"/>
              </w:rPr>
              <w:t>Pharmacology</w:t>
            </w:r>
          </w:p>
        </w:tc>
      </w:tr>
      <w:tr w:rsidR="0054471F" w:rsidRPr="00F12653" w14:paraId="391CDA7C" w14:textId="77777777">
        <w:trPr>
          <w:jc w:val="center"/>
        </w:trPr>
        <w:tc>
          <w:tcPr>
            <w:tcW w:w="5058" w:type="dxa"/>
            <w:tcBorders>
              <w:top w:val="nil"/>
              <w:left w:val="nil"/>
              <w:bottom w:val="nil"/>
              <w:right w:val="single" w:sz="4" w:space="0" w:color="auto"/>
            </w:tcBorders>
            <w:vAlign w:val="center"/>
          </w:tcPr>
          <w:p w14:paraId="19360133" w14:textId="77777777" w:rsidR="0054471F"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Vanderbilt University, Nashville, TN</w:t>
            </w:r>
          </w:p>
        </w:tc>
        <w:tc>
          <w:tcPr>
            <w:tcW w:w="1511" w:type="dxa"/>
            <w:gridSpan w:val="2"/>
            <w:tcBorders>
              <w:top w:val="nil"/>
              <w:left w:val="single" w:sz="4" w:space="0" w:color="auto"/>
              <w:bottom w:val="nil"/>
              <w:right w:val="single" w:sz="4" w:space="0" w:color="auto"/>
            </w:tcBorders>
            <w:vAlign w:val="center"/>
          </w:tcPr>
          <w:p w14:paraId="47D8D1C7" w14:textId="77777777" w:rsidR="0054471F" w:rsidRPr="00F12653" w:rsidRDefault="009C2969" w:rsidP="00D679E5">
            <w:pPr>
              <w:pStyle w:val="DataField11pt-Single"/>
              <w:jc w:val="center"/>
              <w:rPr>
                <w:szCs w:val="22"/>
              </w:rPr>
            </w:pPr>
            <w:r w:rsidRPr="00F12653">
              <w:rPr>
                <w:szCs w:val="22"/>
              </w:rPr>
              <w:t>M.D.</w:t>
            </w:r>
          </w:p>
        </w:tc>
        <w:tc>
          <w:tcPr>
            <w:tcW w:w="1422" w:type="dxa"/>
            <w:tcBorders>
              <w:top w:val="nil"/>
              <w:left w:val="single" w:sz="4" w:space="0" w:color="auto"/>
              <w:bottom w:val="nil"/>
              <w:right w:val="single" w:sz="4" w:space="0" w:color="auto"/>
            </w:tcBorders>
            <w:vAlign w:val="center"/>
          </w:tcPr>
          <w:p w14:paraId="63F4875F" w14:textId="77777777" w:rsidR="0054471F" w:rsidRPr="00F12653" w:rsidRDefault="009C2969" w:rsidP="00D679E5">
            <w:pPr>
              <w:pStyle w:val="DataField11pt-Single"/>
              <w:jc w:val="center"/>
              <w:rPr>
                <w:szCs w:val="22"/>
              </w:rPr>
            </w:pPr>
            <w:r w:rsidRPr="00F12653">
              <w:rPr>
                <w:szCs w:val="22"/>
              </w:rPr>
              <w:t>06/92</w:t>
            </w:r>
          </w:p>
        </w:tc>
        <w:tc>
          <w:tcPr>
            <w:tcW w:w="2665" w:type="dxa"/>
            <w:tcBorders>
              <w:top w:val="nil"/>
              <w:left w:val="single" w:sz="4" w:space="0" w:color="auto"/>
              <w:bottom w:val="nil"/>
              <w:right w:val="nil"/>
            </w:tcBorders>
            <w:vAlign w:val="center"/>
          </w:tcPr>
          <w:p w14:paraId="36FA3DAD" w14:textId="77777777" w:rsidR="0054471F" w:rsidRPr="00F12653" w:rsidRDefault="009C2969" w:rsidP="00D679E5">
            <w:pPr>
              <w:pStyle w:val="DataField11pt-Single"/>
              <w:rPr>
                <w:szCs w:val="22"/>
              </w:rPr>
            </w:pPr>
            <w:r w:rsidRPr="00F12653">
              <w:rPr>
                <w:szCs w:val="22"/>
              </w:rPr>
              <w:t>Medicine</w:t>
            </w:r>
          </w:p>
        </w:tc>
      </w:tr>
      <w:tr w:rsidR="0054471F" w:rsidRPr="00F12653" w14:paraId="0DBF246C" w14:textId="77777777">
        <w:trPr>
          <w:jc w:val="center"/>
        </w:trPr>
        <w:tc>
          <w:tcPr>
            <w:tcW w:w="5058" w:type="dxa"/>
            <w:tcBorders>
              <w:top w:val="nil"/>
              <w:left w:val="nil"/>
              <w:right w:val="single" w:sz="4" w:space="0" w:color="auto"/>
            </w:tcBorders>
            <w:vAlign w:val="center"/>
          </w:tcPr>
          <w:p w14:paraId="22F68936" w14:textId="77777777" w:rsidR="0054471F"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Vanderbilt University, Nashville, TN</w:t>
            </w:r>
          </w:p>
        </w:tc>
        <w:tc>
          <w:tcPr>
            <w:tcW w:w="1511" w:type="dxa"/>
            <w:gridSpan w:val="2"/>
            <w:tcBorders>
              <w:top w:val="nil"/>
              <w:left w:val="single" w:sz="4" w:space="0" w:color="auto"/>
              <w:right w:val="single" w:sz="4" w:space="0" w:color="auto"/>
            </w:tcBorders>
            <w:vAlign w:val="center"/>
          </w:tcPr>
          <w:p w14:paraId="66FA9F00" w14:textId="77777777" w:rsidR="0054471F" w:rsidRPr="00F12653" w:rsidRDefault="0054471F" w:rsidP="00D679E5">
            <w:pPr>
              <w:pStyle w:val="DataField11pt-Single"/>
              <w:jc w:val="center"/>
              <w:rPr>
                <w:szCs w:val="22"/>
              </w:rPr>
            </w:pPr>
          </w:p>
        </w:tc>
        <w:tc>
          <w:tcPr>
            <w:tcW w:w="1422" w:type="dxa"/>
            <w:tcBorders>
              <w:top w:val="nil"/>
              <w:left w:val="single" w:sz="4" w:space="0" w:color="auto"/>
              <w:right w:val="single" w:sz="4" w:space="0" w:color="auto"/>
            </w:tcBorders>
            <w:vAlign w:val="center"/>
          </w:tcPr>
          <w:p w14:paraId="37B2C0A8" w14:textId="77777777" w:rsidR="0054471F" w:rsidRPr="00F12653" w:rsidRDefault="009C2969" w:rsidP="00D679E5">
            <w:pPr>
              <w:pStyle w:val="DataField11pt-Single"/>
              <w:jc w:val="center"/>
              <w:rPr>
                <w:szCs w:val="22"/>
              </w:rPr>
            </w:pPr>
            <w:r w:rsidRPr="00F12653">
              <w:rPr>
                <w:szCs w:val="22"/>
              </w:rPr>
              <w:t>07/93</w:t>
            </w:r>
          </w:p>
        </w:tc>
        <w:tc>
          <w:tcPr>
            <w:tcW w:w="2665" w:type="dxa"/>
            <w:tcBorders>
              <w:top w:val="nil"/>
              <w:left w:val="single" w:sz="4" w:space="0" w:color="auto"/>
              <w:right w:val="nil"/>
            </w:tcBorders>
            <w:vAlign w:val="center"/>
          </w:tcPr>
          <w:p w14:paraId="5F95B7F5" w14:textId="77777777" w:rsidR="0054471F" w:rsidRPr="00F12653" w:rsidRDefault="009C2969" w:rsidP="00D679E5">
            <w:pPr>
              <w:pStyle w:val="DataField11pt-Single"/>
              <w:rPr>
                <w:szCs w:val="22"/>
              </w:rPr>
            </w:pPr>
            <w:r w:rsidRPr="00F12653">
              <w:rPr>
                <w:szCs w:val="22"/>
              </w:rPr>
              <w:t>Medicine Internship</w:t>
            </w:r>
          </w:p>
        </w:tc>
      </w:tr>
      <w:tr w:rsidR="0054471F" w:rsidRPr="00F12653" w14:paraId="7A08AF2C" w14:textId="77777777">
        <w:trPr>
          <w:jc w:val="center"/>
        </w:trPr>
        <w:tc>
          <w:tcPr>
            <w:tcW w:w="5058" w:type="dxa"/>
            <w:tcBorders>
              <w:top w:val="nil"/>
              <w:left w:val="nil"/>
              <w:bottom w:val="nil"/>
              <w:right w:val="single" w:sz="4" w:space="0" w:color="auto"/>
            </w:tcBorders>
            <w:vAlign w:val="center"/>
          </w:tcPr>
          <w:p w14:paraId="78E504B8" w14:textId="77777777" w:rsidR="0054471F"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University of Washington, Seattle, WA</w:t>
            </w:r>
          </w:p>
        </w:tc>
        <w:tc>
          <w:tcPr>
            <w:tcW w:w="1511" w:type="dxa"/>
            <w:gridSpan w:val="2"/>
            <w:tcBorders>
              <w:top w:val="nil"/>
              <w:left w:val="single" w:sz="4" w:space="0" w:color="auto"/>
              <w:bottom w:val="nil"/>
              <w:right w:val="single" w:sz="4" w:space="0" w:color="auto"/>
            </w:tcBorders>
            <w:vAlign w:val="center"/>
          </w:tcPr>
          <w:p w14:paraId="04F2FD9C" w14:textId="77777777" w:rsidR="0054471F" w:rsidRPr="00F12653" w:rsidRDefault="009C2969" w:rsidP="00D679E5">
            <w:pPr>
              <w:pStyle w:val="DataField11pt-Single"/>
              <w:jc w:val="center"/>
              <w:rPr>
                <w:szCs w:val="22"/>
              </w:rPr>
            </w:pPr>
            <w:r w:rsidRPr="00F12653">
              <w:rPr>
                <w:szCs w:val="22"/>
              </w:rPr>
              <w:t>Board Certification</w:t>
            </w:r>
          </w:p>
        </w:tc>
        <w:tc>
          <w:tcPr>
            <w:tcW w:w="1422" w:type="dxa"/>
            <w:tcBorders>
              <w:top w:val="nil"/>
              <w:left w:val="single" w:sz="4" w:space="0" w:color="auto"/>
              <w:bottom w:val="nil"/>
              <w:right w:val="single" w:sz="4" w:space="0" w:color="auto"/>
            </w:tcBorders>
            <w:vAlign w:val="center"/>
          </w:tcPr>
          <w:p w14:paraId="78F7F966" w14:textId="77777777" w:rsidR="0054471F" w:rsidRPr="00F12653" w:rsidRDefault="009C2969" w:rsidP="00D679E5">
            <w:pPr>
              <w:pStyle w:val="DataField11pt-Single"/>
              <w:jc w:val="center"/>
              <w:rPr>
                <w:szCs w:val="22"/>
              </w:rPr>
            </w:pPr>
            <w:r w:rsidRPr="00F12653">
              <w:rPr>
                <w:szCs w:val="22"/>
              </w:rPr>
              <w:t>07/96</w:t>
            </w:r>
          </w:p>
        </w:tc>
        <w:tc>
          <w:tcPr>
            <w:tcW w:w="2665" w:type="dxa"/>
            <w:tcBorders>
              <w:top w:val="nil"/>
              <w:left w:val="single" w:sz="4" w:space="0" w:color="auto"/>
              <w:bottom w:val="nil"/>
              <w:right w:val="nil"/>
            </w:tcBorders>
            <w:vAlign w:val="center"/>
          </w:tcPr>
          <w:p w14:paraId="5C27B2F1" w14:textId="77777777" w:rsidR="0054471F" w:rsidRPr="00F12653" w:rsidRDefault="009C2969" w:rsidP="00D679E5">
            <w:pPr>
              <w:pStyle w:val="DataField11pt-Single"/>
              <w:rPr>
                <w:szCs w:val="22"/>
              </w:rPr>
            </w:pPr>
            <w:r w:rsidRPr="00F12653">
              <w:rPr>
                <w:szCs w:val="22"/>
              </w:rPr>
              <w:t>Anesthesiology Residency</w:t>
            </w:r>
          </w:p>
        </w:tc>
      </w:tr>
      <w:tr w:rsidR="009C2969" w:rsidRPr="00F12653" w14:paraId="53EF85C6" w14:textId="77777777">
        <w:trPr>
          <w:jc w:val="center"/>
        </w:trPr>
        <w:tc>
          <w:tcPr>
            <w:tcW w:w="5058" w:type="dxa"/>
            <w:tcBorders>
              <w:top w:val="nil"/>
              <w:left w:val="nil"/>
              <w:bottom w:val="single" w:sz="6" w:space="0" w:color="auto"/>
              <w:right w:val="single" w:sz="4" w:space="0" w:color="auto"/>
            </w:tcBorders>
            <w:vAlign w:val="center"/>
          </w:tcPr>
          <w:p w14:paraId="3A353334" w14:textId="77777777" w:rsidR="009C2969" w:rsidRPr="00F12653" w:rsidRDefault="009C2969" w:rsidP="009C2969">
            <w:pPr>
              <w:pStyle w:val="Footer"/>
              <w:tabs>
                <w:tab w:val="clear" w:pos="4320"/>
                <w:tab w:val="clear" w:pos="8640"/>
              </w:tabs>
              <w:spacing w:before="20"/>
              <w:rPr>
                <w:rFonts w:ascii="Arial" w:hAnsi="Arial" w:cs="Arial"/>
                <w:sz w:val="22"/>
                <w:szCs w:val="22"/>
              </w:rPr>
            </w:pPr>
            <w:r w:rsidRPr="00F12653">
              <w:rPr>
                <w:rFonts w:ascii="Arial" w:hAnsi="Arial" w:cs="Arial"/>
                <w:sz w:val="22"/>
                <w:szCs w:val="22"/>
              </w:rPr>
              <w:t>University of Washington, Seattle, WA</w:t>
            </w:r>
          </w:p>
        </w:tc>
        <w:tc>
          <w:tcPr>
            <w:tcW w:w="1511" w:type="dxa"/>
            <w:gridSpan w:val="2"/>
            <w:tcBorders>
              <w:top w:val="nil"/>
              <w:left w:val="single" w:sz="4" w:space="0" w:color="auto"/>
              <w:bottom w:val="single" w:sz="6" w:space="0" w:color="auto"/>
              <w:right w:val="single" w:sz="4" w:space="0" w:color="auto"/>
            </w:tcBorders>
            <w:vAlign w:val="center"/>
          </w:tcPr>
          <w:p w14:paraId="25FA346C" w14:textId="77777777" w:rsidR="009C2969" w:rsidRPr="00F12653" w:rsidRDefault="009C2969" w:rsidP="00D679E5">
            <w:pPr>
              <w:pStyle w:val="DataField11pt-Single"/>
              <w:jc w:val="center"/>
              <w:rPr>
                <w:szCs w:val="22"/>
              </w:rPr>
            </w:pPr>
            <w:r w:rsidRPr="00F12653">
              <w:rPr>
                <w:szCs w:val="22"/>
              </w:rPr>
              <w:t>Board Certification</w:t>
            </w:r>
          </w:p>
        </w:tc>
        <w:tc>
          <w:tcPr>
            <w:tcW w:w="1422" w:type="dxa"/>
            <w:tcBorders>
              <w:top w:val="nil"/>
              <w:left w:val="single" w:sz="4" w:space="0" w:color="auto"/>
              <w:bottom w:val="single" w:sz="6" w:space="0" w:color="auto"/>
              <w:right w:val="single" w:sz="4" w:space="0" w:color="auto"/>
            </w:tcBorders>
            <w:vAlign w:val="center"/>
          </w:tcPr>
          <w:p w14:paraId="0AB9E79B" w14:textId="77777777" w:rsidR="009C2969" w:rsidRPr="00F12653" w:rsidRDefault="009C2969" w:rsidP="00D679E5">
            <w:pPr>
              <w:pStyle w:val="DataField11pt-Single"/>
              <w:jc w:val="center"/>
              <w:rPr>
                <w:szCs w:val="22"/>
              </w:rPr>
            </w:pPr>
            <w:r w:rsidRPr="00F12653">
              <w:rPr>
                <w:szCs w:val="22"/>
              </w:rPr>
              <w:t>07/98</w:t>
            </w:r>
          </w:p>
        </w:tc>
        <w:tc>
          <w:tcPr>
            <w:tcW w:w="2665" w:type="dxa"/>
            <w:tcBorders>
              <w:top w:val="nil"/>
              <w:left w:val="single" w:sz="4" w:space="0" w:color="auto"/>
              <w:bottom w:val="single" w:sz="6" w:space="0" w:color="auto"/>
              <w:right w:val="nil"/>
            </w:tcBorders>
            <w:vAlign w:val="center"/>
          </w:tcPr>
          <w:p w14:paraId="18F6ED05" w14:textId="77777777" w:rsidR="009C2969" w:rsidRPr="00F12653" w:rsidRDefault="009C2969" w:rsidP="00D679E5">
            <w:pPr>
              <w:pStyle w:val="DataField11pt-Single"/>
              <w:rPr>
                <w:szCs w:val="22"/>
              </w:rPr>
            </w:pPr>
            <w:r w:rsidRPr="00F12653">
              <w:rPr>
                <w:szCs w:val="22"/>
              </w:rPr>
              <w:t>Pain Management Clinical and Research Fellowship</w:t>
            </w:r>
          </w:p>
        </w:tc>
      </w:tr>
    </w:tbl>
    <w:p w14:paraId="26EBD62C" w14:textId="77777777" w:rsidR="00006EC1" w:rsidRDefault="00006EC1" w:rsidP="00006EC1">
      <w:pPr>
        <w:pStyle w:val="Subtitle"/>
        <w:spacing w:before="0" w:after="0"/>
        <w:jc w:val="both"/>
        <w:rPr>
          <w:rFonts w:cs="Arial"/>
          <w:szCs w:val="22"/>
        </w:rPr>
      </w:pPr>
    </w:p>
    <w:p w14:paraId="40841646" w14:textId="77777777" w:rsidR="00017669" w:rsidRPr="00280DC2" w:rsidRDefault="000A7DAD" w:rsidP="00006EC1">
      <w:pPr>
        <w:pStyle w:val="Subtitle"/>
        <w:spacing w:before="0" w:after="0"/>
        <w:jc w:val="both"/>
        <w:rPr>
          <w:rFonts w:cs="Arial"/>
          <w:b w:val="0"/>
          <w:szCs w:val="22"/>
        </w:rPr>
      </w:pPr>
      <w:r w:rsidRPr="00280DC2">
        <w:rPr>
          <w:rFonts w:cs="Arial"/>
          <w:szCs w:val="22"/>
        </w:rPr>
        <w:t>A. Personal Statement</w:t>
      </w:r>
    </w:p>
    <w:p w14:paraId="6EA318B5" w14:textId="77777777" w:rsidR="00A73A47" w:rsidRPr="00A73A47" w:rsidRDefault="00A73A47" w:rsidP="00A73A47">
      <w:pPr>
        <w:ind w:firstLine="360"/>
        <w:jc w:val="both"/>
        <w:rPr>
          <w:rFonts w:ascii="Arial" w:hAnsi="Arial" w:cs="Arial"/>
          <w:sz w:val="22"/>
          <w:szCs w:val="22"/>
        </w:rPr>
      </w:pPr>
      <w:r w:rsidRPr="00A73A47">
        <w:rPr>
          <w:rFonts w:ascii="Arial" w:hAnsi="Arial" w:cs="Arial"/>
          <w:sz w:val="22"/>
          <w:szCs w:val="22"/>
        </w:rPr>
        <w:t xml:space="preserve">Ultimately my interests and motivations towards understanding pain and </w:t>
      </w:r>
      <w:proofErr w:type="spellStart"/>
      <w:r w:rsidRPr="00A73A47">
        <w:rPr>
          <w:rFonts w:ascii="Arial" w:hAnsi="Arial" w:cs="Arial"/>
          <w:sz w:val="22"/>
          <w:szCs w:val="22"/>
        </w:rPr>
        <w:t>maladaptations</w:t>
      </w:r>
      <w:proofErr w:type="spellEnd"/>
      <w:r w:rsidRPr="00A73A47">
        <w:rPr>
          <w:rFonts w:ascii="Arial" w:hAnsi="Arial" w:cs="Arial"/>
          <w:sz w:val="22"/>
          <w:szCs w:val="22"/>
        </w:rPr>
        <w:t xml:space="preserve"> to opioids stem from ongoing clinical experience.  I am a founder and former Director of the Palo Alto VA Pain Clinic and currently work clinically with our institution’s Transitional Pain Service. These experiences have brought me into contact with pain and its consequences in many settings.  Commonly encountered pain consultations include patients with very difficult to manage postoperative pain, patients with chronic pain after surgical procedures, patients with chronic pain syndromes related to war injuries and pain occurring in association with traumatic brain injury. I have worked extensively on issues related to chronic opioid consumption, lectured internationally on the topic and participated in a National Academies effort to define and address the causes of America’s Opioid Epidemic.</w:t>
      </w:r>
    </w:p>
    <w:p w14:paraId="48612D94" w14:textId="01F7BE7C" w:rsidR="00482FA5" w:rsidRPr="00280DC2" w:rsidRDefault="00A73A47" w:rsidP="00A73A47">
      <w:pPr>
        <w:ind w:firstLine="360"/>
        <w:jc w:val="both"/>
        <w:rPr>
          <w:rFonts w:ascii="Arial" w:hAnsi="Arial" w:cs="Arial"/>
          <w:sz w:val="22"/>
          <w:szCs w:val="22"/>
        </w:rPr>
      </w:pPr>
      <w:r w:rsidRPr="00A73A47">
        <w:rPr>
          <w:rFonts w:ascii="Arial" w:hAnsi="Arial" w:cs="Arial"/>
          <w:sz w:val="22"/>
          <w:szCs w:val="22"/>
        </w:rPr>
        <w:t xml:space="preserve">My laboratory has been dedicated for more than a decade to identifying mechanisms supporting chronic pain as well as </w:t>
      </w:r>
      <w:proofErr w:type="spellStart"/>
      <w:r w:rsidRPr="00A73A47">
        <w:rPr>
          <w:rFonts w:ascii="Arial" w:hAnsi="Arial" w:cs="Arial"/>
          <w:sz w:val="22"/>
          <w:szCs w:val="22"/>
        </w:rPr>
        <w:t>maladaptations</w:t>
      </w:r>
      <w:proofErr w:type="spellEnd"/>
      <w:r w:rsidRPr="00A73A47">
        <w:rPr>
          <w:rFonts w:ascii="Arial" w:hAnsi="Arial" w:cs="Arial"/>
          <w:sz w:val="22"/>
          <w:szCs w:val="22"/>
        </w:rPr>
        <w:t xml:space="preserve"> to opioids. We have developed and employed various animal model systems, conducted human volunteer studies and are currently involved in clinical trials. The group’s most recent work is focused on damage to endogenous pain control circuits caused by traumatic brain injury (TBI), and the contributions of the adaptive system of immunity to chronic pain. The laboratory has an active training program and academic and well as industrial collaborations.</w:t>
      </w:r>
    </w:p>
    <w:p w14:paraId="531E5E35" w14:textId="77777777" w:rsidR="0066042D" w:rsidRDefault="0066042D" w:rsidP="00006EC1">
      <w:pPr>
        <w:pStyle w:val="Subtitle"/>
        <w:spacing w:before="0" w:after="0"/>
        <w:jc w:val="both"/>
        <w:rPr>
          <w:rFonts w:cs="Arial"/>
          <w:szCs w:val="22"/>
        </w:rPr>
      </w:pPr>
    </w:p>
    <w:p w14:paraId="4F10F01E" w14:textId="77777777" w:rsidR="000A7DAD" w:rsidRPr="00280DC2" w:rsidRDefault="000A7DAD" w:rsidP="00006EC1">
      <w:pPr>
        <w:pStyle w:val="Subtitle"/>
        <w:spacing w:before="0" w:after="0"/>
        <w:jc w:val="both"/>
        <w:rPr>
          <w:rFonts w:cs="Arial"/>
          <w:szCs w:val="22"/>
        </w:rPr>
      </w:pPr>
      <w:r w:rsidRPr="00280DC2">
        <w:rPr>
          <w:rFonts w:cs="Arial"/>
          <w:szCs w:val="22"/>
        </w:rPr>
        <w:t>B. Positions and Honors</w:t>
      </w:r>
    </w:p>
    <w:p w14:paraId="57D89912" w14:textId="77777777" w:rsidR="00F12653" w:rsidRPr="00280DC2" w:rsidRDefault="00F12653" w:rsidP="00006EC1">
      <w:pPr>
        <w:jc w:val="both"/>
        <w:rPr>
          <w:rFonts w:ascii="Arial" w:hAnsi="Arial" w:cs="Arial"/>
          <w:b/>
          <w:sz w:val="22"/>
          <w:szCs w:val="22"/>
          <w:u w:val="single"/>
        </w:rPr>
      </w:pPr>
      <w:r w:rsidRPr="00280DC2">
        <w:rPr>
          <w:rFonts w:ascii="Arial" w:hAnsi="Arial" w:cs="Arial"/>
          <w:b/>
          <w:sz w:val="22"/>
          <w:szCs w:val="22"/>
          <w:u w:val="single"/>
        </w:rPr>
        <w:t>Positions and Employment</w:t>
      </w:r>
    </w:p>
    <w:p w14:paraId="2B753024" w14:textId="77777777" w:rsidR="00F12653" w:rsidRPr="00280DC2" w:rsidRDefault="00F12653" w:rsidP="00006EC1">
      <w:pPr>
        <w:tabs>
          <w:tab w:val="left" w:pos="720"/>
          <w:tab w:val="left" w:pos="1440"/>
        </w:tabs>
        <w:ind w:left="1620" w:hanging="1620"/>
        <w:jc w:val="both"/>
        <w:rPr>
          <w:rFonts w:ascii="Arial" w:hAnsi="Arial" w:cs="Arial"/>
          <w:sz w:val="22"/>
          <w:szCs w:val="22"/>
        </w:rPr>
      </w:pPr>
      <w:r w:rsidRPr="00280DC2">
        <w:rPr>
          <w:rFonts w:ascii="Arial" w:hAnsi="Arial" w:cs="Arial"/>
          <w:sz w:val="22"/>
          <w:szCs w:val="22"/>
        </w:rPr>
        <w:t xml:space="preserve">1996-1998 </w:t>
      </w:r>
      <w:r w:rsidRPr="00280DC2">
        <w:rPr>
          <w:rFonts w:ascii="Arial" w:hAnsi="Arial" w:cs="Arial"/>
          <w:sz w:val="22"/>
          <w:szCs w:val="22"/>
        </w:rPr>
        <w:tab/>
        <w:t>Acting Instructor in Anesthesia, University of Washington, Seattle, WA</w:t>
      </w:r>
    </w:p>
    <w:p w14:paraId="49C49E6F" w14:textId="77777777" w:rsidR="00F12653" w:rsidRPr="00280DC2" w:rsidRDefault="00F12653" w:rsidP="00006EC1">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 xml:space="preserve">1998-2004 </w:t>
      </w:r>
      <w:r w:rsidRPr="00280DC2">
        <w:rPr>
          <w:rFonts w:ascii="Arial" w:hAnsi="Arial" w:cs="Arial"/>
          <w:sz w:val="22"/>
          <w:szCs w:val="22"/>
        </w:rPr>
        <w:tab/>
        <w:t>Assistant Professor of Anesthesia, Stanford University, CA</w:t>
      </w:r>
      <w:r w:rsidR="00647ABF">
        <w:rPr>
          <w:rFonts w:ascii="Arial" w:hAnsi="Arial" w:cs="Arial"/>
          <w:sz w:val="22"/>
          <w:szCs w:val="22"/>
        </w:rPr>
        <w:t>, Stanford, CA</w:t>
      </w:r>
      <w:r w:rsidRPr="00280DC2">
        <w:rPr>
          <w:rFonts w:ascii="Arial" w:hAnsi="Arial" w:cs="Arial"/>
          <w:sz w:val="22"/>
          <w:szCs w:val="22"/>
        </w:rPr>
        <w:t xml:space="preserve"> </w:t>
      </w:r>
    </w:p>
    <w:p w14:paraId="16FEDB7F" w14:textId="5CA32DB1" w:rsidR="00F12653" w:rsidRPr="00280DC2" w:rsidRDefault="00F12653" w:rsidP="00006EC1">
      <w:pPr>
        <w:pStyle w:val="BodyTextIndent3"/>
        <w:spacing w:after="0"/>
        <w:ind w:left="1440" w:hanging="1440"/>
        <w:jc w:val="both"/>
        <w:rPr>
          <w:rFonts w:ascii="Arial" w:hAnsi="Arial" w:cs="Arial"/>
          <w:sz w:val="22"/>
          <w:szCs w:val="22"/>
        </w:rPr>
      </w:pPr>
      <w:r w:rsidRPr="00280DC2">
        <w:rPr>
          <w:rFonts w:ascii="Arial" w:hAnsi="Arial" w:cs="Arial"/>
          <w:sz w:val="22"/>
          <w:szCs w:val="22"/>
        </w:rPr>
        <w:t>1998-</w:t>
      </w:r>
      <w:r w:rsidR="00486F2F">
        <w:rPr>
          <w:rFonts w:ascii="Arial" w:hAnsi="Arial" w:cs="Arial"/>
          <w:sz w:val="22"/>
          <w:szCs w:val="22"/>
        </w:rPr>
        <w:t>2020</w:t>
      </w:r>
      <w:r w:rsidRPr="00280DC2">
        <w:rPr>
          <w:rFonts w:ascii="Arial" w:hAnsi="Arial" w:cs="Arial"/>
          <w:sz w:val="22"/>
          <w:szCs w:val="22"/>
        </w:rPr>
        <w:t xml:space="preserve"> </w:t>
      </w:r>
      <w:r w:rsidRPr="00280DC2">
        <w:rPr>
          <w:rFonts w:ascii="Arial" w:hAnsi="Arial" w:cs="Arial"/>
          <w:sz w:val="22"/>
          <w:szCs w:val="22"/>
        </w:rPr>
        <w:tab/>
        <w:t>Director, Pain Management Service, VA Palo Alto Health Care System, Palo Alto, CA</w:t>
      </w:r>
    </w:p>
    <w:p w14:paraId="4A376270" w14:textId="41F74479" w:rsidR="00F12653" w:rsidRPr="00280DC2" w:rsidRDefault="00F12653" w:rsidP="00006EC1">
      <w:pPr>
        <w:pStyle w:val="BodyTextIndent3"/>
        <w:spacing w:after="0"/>
        <w:ind w:left="0"/>
        <w:jc w:val="both"/>
        <w:rPr>
          <w:rFonts w:ascii="Arial" w:hAnsi="Arial" w:cs="Arial"/>
          <w:sz w:val="22"/>
          <w:szCs w:val="22"/>
        </w:rPr>
      </w:pPr>
      <w:r w:rsidRPr="00280DC2">
        <w:rPr>
          <w:rFonts w:ascii="Arial" w:hAnsi="Arial" w:cs="Arial"/>
          <w:sz w:val="22"/>
          <w:szCs w:val="22"/>
        </w:rPr>
        <w:t>2003-</w:t>
      </w:r>
      <w:r w:rsidR="00486F2F">
        <w:rPr>
          <w:rFonts w:ascii="Arial" w:hAnsi="Arial" w:cs="Arial"/>
          <w:sz w:val="22"/>
          <w:szCs w:val="22"/>
        </w:rPr>
        <w:t>2020</w:t>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t>Co-Chair, VAPAHCS Pain Management Committee, Palo</w:t>
      </w:r>
      <w:r w:rsidR="00647ABF">
        <w:rPr>
          <w:rFonts w:ascii="Arial" w:hAnsi="Arial" w:cs="Arial"/>
          <w:sz w:val="22"/>
          <w:szCs w:val="22"/>
        </w:rPr>
        <w:t xml:space="preserve"> </w:t>
      </w:r>
      <w:r w:rsidRPr="00280DC2">
        <w:rPr>
          <w:rFonts w:ascii="Arial" w:hAnsi="Arial" w:cs="Arial"/>
          <w:sz w:val="22"/>
          <w:szCs w:val="22"/>
        </w:rPr>
        <w:t>Alto, CA</w:t>
      </w:r>
    </w:p>
    <w:p w14:paraId="49C85195" w14:textId="77777777" w:rsidR="00F12653" w:rsidRPr="00280DC2" w:rsidRDefault="00F12653" w:rsidP="00006EC1">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2004-2008</w:t>
      </w:r>
      <w:r w:rsidRPr="00280DC2">
        <w:rPr>
          <w:rFonts w:ascii="Arial" w:hAnsi="Arial" w:cs="Arial"/>
          <w:sz w:val="22"/>
          <w:szCs w:val="22"/>
        </w:rPr>
        <w:tab/>
        <w:t xml:space="preserve">Associate Professor of Anesthesia, Stanford University, </w:t>
      </w:r>
      <w:r w:rsidR="00647ABF">
        <w:rPr>
          <w:rFonts w:ascii="Arial" w:hAnsi="Arial" w:cs="Arial"/>
          <w:sz w:val="22"/>
          <w:szCs w:val="22"/>
        </w:rPr>
        <w:t xml:space="preserve">Stanford, </w:t>
      </w:r>
      <w:r w:rsidRPr="00280DC2">
        <w:rPr>
          <w:rFonts w:ascii="Arial" w:hAnsi="Arial" w:cs="Arial"/>
          <w:sz w:val="22"/>
          <w:szCs w:val="22"/>
        </w:rPr>
        <w:t>CA</w:t>
      </w:r>
    </w:p>
    <w:p w14:paraId="24EE9460" w14:textId="77777777" w:rsidR="00F12653" w:rsidRPr="00280DC2" w:rsidRDefault="00F12653" w:rsidP="00006EC1">
      <w:pPr>
        <w:jc w:val="both"/>
        <w:rPr>
          <w:rFonts w:ascii="Arial" w:hAnsi="Arial" w:cs="Arial"/>
          <w:sz w:val="22"/>
          <w:szCs w:val="22"/>
        </w:rPr>
      </w:pPr>
      <w:r w:rsidRPr="00280DC2">
        <w:rPr>
          <w:rFonts w:ascii="Arial" w:hAnsi="Arial" w:cs="Arial"/>
          <w:sz w:val="22"/>
          <w:szCs w:val="22"/>
        </w:rPr>
        <w:t>2008-</w:t>
      </w:r>
      <w:r w:rsidR="009B3BE4" w:rsidRPr="00280DC2">
        <w:rPr>
          <w:rFonts w:ascii="Arial" w:hAnsi="Arial" w:cs="Arial"/>
          <w:sz w:val="22"/>
          <w:szCs w:val="22"/>
        </w:rPr>
        <w:t>2011</w:t>
      </w:r>
      <w:r w:rsidR="009B3BE4" w:rsidRPr="00280DC2">
        <w:rPr>
          <w:rFonts w:ascii="Arial" w:hAnsi="Arial" w:cs="Arial"/>
          <w:sz w:val="22"/>
          <w:szCs w:val="22"/>
        </w:rPr>
        <w:tab/>
      </w:r>
      <w:r w:rsidR="009B3BE4" w:rsidRPr="00280DC2">
        <w:rPr>
          <w:rFonts w:ascii="Arial" w:hAnsi="Arial" w:cs="Arial"/>
          <w:sz w:val="22"/>
          <w:szCs w:val="22"/>
        </w:rPr>
        <w:tab/>
      </w:r>
      <w:r w:rsidRPr="00280DC2">
        <w:rPr>
          <w:rFonts w:ascii="Arial" w:hAnsi="Arial" w:cs="Arial"/>
          <w:sz w:val="22"/>
          <w:szCs w:val="22"/>
        </w:rPr>
        <w:t>Associate Chief of Staff for Research, VAPAHCS, Palo Alto, CA</w:t>
      </w:r>
    </w:p>
    <w:p w14:paraId="6FBEF925" w14:textId="77777777" w:rsidR="00F12653" w:rsidRPr="00280DC2" w:rsidRDefault="00F12653" w:rsidP="00006EC1">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2008-</w:t>
      </w:r>
      <w:r w:rsidRPr="00280DC2">
        <w:rPr>
          <w:rFonts w:ascii="Arial" w:hAnsi="Arial" w:cs="Arial"/>
          <w:sz w:val="22"/>
          <w:szCs w:val="22"/>
        </w:rPr>
        <w:tab/>
      </w:r>
      <w:r w:rsidRPr="00280DC2">
        <w:rPr>
          <w:rFonts w:ascii="Arial" w:hAnsi="Arial" w:cs="Arial"/>
          <w:sz w:val="22"/>
          <w:szCs w:val="22"/>
        </w:rPr>
        <w:tab/>
        <w:t xml:space="preserve">Professor of Anesthesia, Stanford University, </w:t>
      </w:r>
      <w:r w:rsidR="00647ABF">
        <w:rPr>
          <w:rFonts w:ascii="Arial" w:hAnsi="Arial" w:cs="Arial"/>
          <w:sz w:val="22"/>
          <w:szCs w:val="22"/>
        </w:rPr>
        <w:t xml:space="preserve">Stanford, </w:t>
      </w:r>
      <w:r w:rsidRPr="00280DC2">
        <w:rPr>
          <w:rFonts w:ascii="Arial" w:hAnsi="Arial" w:cs="Arial"/>
          <w:sz w:val="22"/>
          <w:szCs w:val="22"/>
        </w:rPr>
        <w:t>CA</w:t>
      </w:r>
    </w:p>
    <w:p w14:paraId="0C68EB38" w14:textId="4CB16F9C" w:rsidR="00F040E2" w:rsidRDefault="00F040E2" w:rsidP="00006EC1">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2012-</w:t>
      </w:r>
      <w:r w:rsidR="00486F2F">
        <w:rPr>
          <w:rFonts w:ascii="Arial" w:hAnsi="Arial" w:cs="Arial"/>
          <w:sz w:val="22"/>
          <w:szCs w:val="22"/>
        </w:rPr>
        <w:t>2022</w:t>
      </w:r>
      <w:r w:rsidRPr="00280DC2">
        <w:rPr>
          <w:rFonts w:ascii="Arial" w:hAnsi="Arial" w:cs="Arial"/>
          <w:sz w:val="22"/>
          <w:szCs w:val="22"/>
        </w:rPr>
        <w:tab/>
        <w:t>Vice-Chair for Research, Stanford Department of Anesthesia</w:t>
      </w:r>
      <w:r w:rsidR="00647ABF">
        <w:rPr>
          <w:rFonts w:ascii="Arial" w:hAnsi="Arial" w:cs="Arial"/>
          <w:sz w:val="22"/>
          <w:szCs w:val="22"/>
        </w:rPr>
        <w:t>, Stanford, CA</w:t>
      </w:r>
    </w:p>
    <w:p w14:paraId="4E138352" w14:textId="2974B141" w:rsidR="00486F2F" w:rsidRDefault="00486F2F" w:rsidP="00006EC1">
      <w:pPr>
        <w:tabs>
          <w:tab w:val="left" w:pos="720"/>
          <w:tab w:val="left" w:pos="1440"/>
          <w:tab w:val="left" w:pos="5220"/>
        </w:tabs>
        <w:ind w:left="1620" w:hanging="1620"/>
        <w:jc w:val="both"/>
        <w:rPr>
          <w:rFonts w:ascii="Arial" w:hAnsi="Arial" w:cs="Arial"/>
          <w:sz w:val="22"/>
          <w:szCs w:val="22"/>
        </w:rPr>
      </w:pPr>
      <w:r>
        <w:rPr>
          <w:rFonts w:ascii="Arial" w:hAnsi="Arial" w:cs="Arial"/>
          <w:sz w:val="22"/>
          <w:szCs w:val="22"/>
        </w:rPr>
        <w:t>2022-</w:t>
      </w:r>
      <w:r>
        <w:rPr>
          <w:rFonts w:ascii="Arial" w:hAnsi="Arial" w:cs="Arial"/>
          <w:sz w:val="22"/>
          <w:szCs w:val="22"/>
        </w:rPr>
        <w:tab/>
      </w:r>
      <w:r>
        <w:rPr>
          <w:rFonts w:ascii="Arial" w:hAnsi="Arial" w:cs="Arial"/>
          <w:sz w:val="22"/>
          <w:szCs w:val="22"/>
        </w:rPr>
        <w:tab/>
        <w:t xml:space="preserve">Vice-Chair for Academic Affairs, </w:t>
      </w:r>
      <w:r w:rsidRPr="00486F2F">
        <w:rPr>
          <w:rFonts w:ascii="Arial" w:hAnsi="Arial" w:cs="Arial"/>
          <w:sz w:val="22"/>
          <w:szCs w:val="22"/>
        </w:rPr>
        <w:t>Stanford Department of Anesthesia, Stanford, CA</w:t>
      </w:r>
    </w:p>
    <w:p w14:paraId="7CC0D47D" w14:textId="1ED43FD9" w:rsidR="00A73A47" w:rsidRPr="00280DC2" w:rsidRDefault="00A73A47" w:rsidP="00006EC1">
      <w:pPr>
        <w:tabs>
          <w:tab w:val="left" w:pos="720"/>
          <w:tab w:val="left" w:pos="1440"/>
          <w:tab w:val="left" w:pos="5220"/>
        </w:tabs>
        <w:ind w:left="1620" w:hanging="1620"/>
        <w:jc w:val="both"/>
        <w:rPr>
          <w:rFonts w:ascii="Arial" w:hAnsi="Arial" w:cs="Arial"/>
          <w:sz w:val="22"/>
          <w:szCs w:val="22"/>
        </w:rPr>
      </w:pPr>
      <w:r>
        <w:rPr>
          <w:rFonts w:ascii="Arial" w:hAnsi="Arial" w:cs="Arial"/>
          <w:sz w:val="22"/>
          <w:szCs w:val="22"/>
        </w:rPr>
        <w:t>2015-</w:t>
      </w:r>
      <w:r>
        <w:rPr>
          <w:rFonts w:ascii="Arial" w:hAnsi="Arial" w:cs="Arial"/>
          <w:sz w:val="22"/>
          <w:szCs w:val="22"/>
        </w:rPr>
        <w:tab/>
      </w:r>
      <w:r>
        <w:rPr>
          <w:rFonts w:ascii="Arial" w:hAnsi="Arial" w:cs="Arial"/>
          <w:sz w:val="22"/>
          <w:szCs w:val="22"/>
        </w:rPr>
        <w:tab/>
        <w:t xml:space="preserve">T-32 Research in Anesthesia Program (REAP) Program Director </w:t>
      </w:r>
    </w:p>
    <w:p w14:paraId="301470AD" w14:textId="77777777" w:rsidR="00F12653" w:rsidRPr="00280DC2" w:rsidRDefault="00F12653" w:rsidP="00006EC1">
      <w:pPr>
        <w:jc w:val="both"/>
        <w:rPr>
          <w:rFonts w:ascii="Arial" w:hAnsi="Arial" w:cs="Arial"/>
          <w:sz w:val="22"/>
          <w:szCs w:val="22"/>
        </w:rPr>
      </w:pPr>
    </w:p>
    <w:p w14:paraId="1B337291" w14:textId="77777777" w:rsidR="00F12653" w:rsidRPr="00280DC2" w:rsidRDefault="00F12653" w:rsidP="00006EC1">
      <w:pPr>
        <w:jc w:val="both"/>
        <w:rPr>
          <w:rFonts w:ascii="Arial" w:hAnsi="Arial" w:cs="Arial"/>
          <w:b/>
          <w:sz w:val="22"/>
          <w:szCs w:val="22"/>
          <w:u w:val="single"/>
        </w:rPr>
      </w:pPr>
      <w:r w:rsidRPr="00280DC2">
        <w:rPr>
          <w:rFonts w:ascii="Arial" w:hAnsi="Arial" w:cs="Arial"/>
          <w:b/>
          <w:sz w:val="22"/>
          <w:szCs w:val="22"/>
          <w:u w:val="single"/>
        </w:rPr>
        <w:t>Other Experience</w:t>
      </w:r>
      <w:r w:rsidR="009C0455">
        <w:rPr>
          <w:rFonts w:ascii="Arial" w:hAnsi="Arial" w:cs="Arial"/>
          <w:b/>
          <w:sz w:val="22"/>
          <w:szCs w:val="22"/>
          <w:u w:val="single"/>
        </w:rPr>
        <w:t>, Honors</w:t>
      </w:r>
      <w:r w:rsidRPr="00280DC2">
        <w:rPr>
          <w:rFonts w:ascii="Arial" w:hAnsi="Arial" w:cs="Arial"/>
          <w:b/>
          <w:sz w:val="22"/>
          <w:szCs w:val="22"/>
          <w:u w:val="single"/>
        </w:rPr>
        <w:t xml:space="preserve"> and </w:t>
      </w:r>
      <w:r w:rsidR="009C0455">
        <w:rPr>
          <w:rFonts w:ascii="Arial" w:hAnsi="Arial" w:cs="Arial"/>
          <w:b/>
          <w:sz w:val="22"/>
          <w:szCs w:val="22"/>
          <w:u w:val="single"/>
        </w:rPr>
        <w:t xml:space="preserve">Professional </w:t>
      </w:r>
      <w:r w:rsidRPr="00280DC2">
        <w:rPr>
          <w:rFonts w:ascii="Arial" w:hAnsi="Arial" w:cs="Arial"/>
          <w:b/>
          <w:sz w:val="22"/>
          <w:szCs w:val="22"/>
          <w:u w:val="single"/>
        </w:rPr>
        <w:t>Memberships</w:t>
      </w:r>
    </w:p>
    <w:p w14:paraId="1FBEF6B9"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1993-</w:t>
      </w:r>
      <w:r w:rsidRPr="00280DC2">
        <w:rPr>
          <w:rFonts w:ascii="Arial" w:hAnsi="Arial" w:cs="Arial"/>
          <w:sz w:val="22"/>
          <w:szCs w:val="22"/>
        </w:rPr>
        <w:tab/>
      </w:r>
      <w:r w:rsidRPr="00280DC2">
        <w:rPr>
          <w:rFonts w:ascii="Arial" w:hAnsi="Arial" w:cs="Arial"/>
          <w:sz w:val="22"/>
          <w:szCs w:val="22"/>
        </w:rPr>
        <w:tab/>
        <w:t>Member, American Society of Anesthesiologists</w:t>
      </w:r>
    </w:p>
    <w:p w14:paraId="7C0BED12"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1993-</w:t>
      </w:r>
      <w:r w:rsidRPr="00280DC2">
        <w:rPr>
          <w:rFonts w:ascii="Arial" w:hAnsi="Arial" w:cs="Arial"/>
          <w:sz w:val="22"/>
          <w:szCs w:val="22"/>
        </w:rPr>
        <w:tab/>
      </w:r>
      <w:r w:rsidRPr="00280DC2">
        <w:rPr>
          <w:rFonts w:ascii="Arial" w:hAnsi="Arial" w:cs="Arial"/>
          <w:sz w:val="22"/>
          <w:szCs w:val="22"/>
        </w:rPr>
        <w:tab/>
        <w:t>Member, International Anesthesia Research Society</w:t>
      </w:r>
    </w:p>
    <w:p w14:paraId="7092D1E2"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1995-</w:t>
      </w:r>
      <w:r w:rsidRPr="00280DC2">
        <w:rPr>
          <w:rFonts w:ascii="Arial" w:hAnsi="Arial" w:cs="Arial"/>
          <w:sz w:val="22"/>
          <w:szCs w:val="22"/>
        </w:rPr>
        <w:tab/>
      </w:r>
      <w:r w:rsidRPr="00280DC2">
        <w:rPr>
          <w:rFonts w:ascii="Arial" w:hAnsi="Arial" w:cs="Arial"/>
          <w:sz w:val="22"/>
          <w:szCs w:val="22"/>
        </w:rPr>
        <w:tab/>
        <w:t>Member, International Association for the Study of Pain</w:t>
      </w:r>
    </w:p>
    <w:p w14:paraId="4B8ABF2A"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1998-</w:t>
      </w:r>
      <w:r w:rsidRPr="00280DC2">
        <w:rPr>
          <w:rFonts w:ascii="Arial" w:hAnsi="Arial" w:cs="Arial"/>
          <w:sz w:val="22"/>
          <w:szCs w:val="22"/>
        </w:rPr>
        <w:tab/>
      </w:r>
      <w:r w:rsidRPr="00280DC2">
        <w:rPr>
          <w:rFonts w:ascii="Arial" w:hAnsi="Arial" w:cs="Arial"/>
          <w:sz w:val="22"/>
          <w:szCs w:val="22"/>
        </w:rPr>
        <w:tab/>
        <w:t>Member, American Pain Society</w:t>
      </w:r>
    </w:p>
    <w:p w14:paraId="24D49609"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2005-2009</w:t>
      </w:r>
      <w:r w:rsidRPr="00280DC2">
        <w:rPr>
          <w:rFonts w:ascii="Arial" w:hAnsi="Arial" w:cs="Arial"/>
          <w:sz w:val="22"/>
          <w:szCs w:val="22"/>
        </w:rPr>
        <w:tab/>
        <w:t>Member, NIH Surgery, Anesthesia and Trauma Scientific Review Group</w:t>
      </w:r>
    </w:p>
    <w:p w14:paraId="0A8CA0B4"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lastRenderedPageBreak/>
        <w:t>2005-2010</w:t>
      </w:r>
      <w:r w:rsidRPr="00280DC2">
        <w:rPr>
          <w:rFonts w:ascii="Arial" w:hAnsi="Arial" w:cs="Arial"/>
          <w:sz w:val="22"/>
          <w:szCs w:val="22"/>
        </w:rPr>
        <w:tab/>
        <w:t xml:space="preserve">Associate Editor of </w:t>
      </w:r>
      <w:r w:rsidRPr="00280DC2">
        <w:rPr>
          <w:rFonts w:ascii="Arial" w:hAnsi="Arial" w:cs="Arial"/>
          <w:i/>
          <w:sz w:val="22"/>
          <w:szCs w:val="22"/>
        </w:rPr>
        <w:t>Anesthesiology</w:t>
      </w:r>
    </w:p>
    <w:p w14:paraId="4FFDCD2A" w14:textId="77777777" w:rsidR="009C0455" w:rsidRPr="00280DC2" w:rsidRDefault="009C0455" w:rsidP="009C0455">
      <w:pPr>
        <w:tabs>
          <w:tab w:val="left" w:pos="720"/>
          <w:tab w:val="left" w:pos="1440"/>
          <w:tab w:val="left" w:pos="5220"/>
        </w:tabs>
        <w:ind w:left="1620" w:hanging="1620"/>
        <w:jc w:val="both"/>
        <w:rPr>
          <w:rFonts w:ascii="Arial" w:hAnsi="Arial" w:cs="Arial"/>
          <w:sz w:val="22"/>
          <w:szCs w:val="22"/>
        </w:rPr>
      </w:pPr>
      <w:r w:rsidRPr="00280DC2">
        <w:rPr>
          <w:rFonts w:ascii="Arial" w:hAnsi="Arial" w:cs="Arial"/>
          <w:sz w:val="22"/>
          <w:szCs w:val="22"/>
        </w:rPr>
        <w:t>2008-2009</w:t>
      </w:r>
      <w:r w:rsidRPr="00280DC2">
        <w:rPr>
          <w:rFonts w:ascii="Arial" w:hAnsi="Arial" w:cs="Arial"/>
          <w:sz w:val="22"/>
          <w:szCs w:val="22"/>
        </w:rPr>
        <w:tab/>
        <w:t>Co-Chair, American Pain Society Genetics Special Interest Group</w:t>
      </w:r>
    </w:p>
    <w:p w14:paraId="56B4B1CD" w14:textId="460ABA23" w:rsidR="009C0455" w:rsidRDefault="009C0455" w:rsidP="009C0455">
      <w:pPr>
        <w:tabs>
          <w:tab w:val="left" w:pos="720"/>
          <w:tab w:val="left" w:pos="1440"/>
          <w:tab w:val="left" w:pos="5220"/>
        </w:tabs>
        <w:ind w:left="1620" w:hanging="1620"/>
        <w:jc w:val="both"/>
        <w:rPr>
          <w:rFonts w:ascii="Arial" w:hAnsi="Arial" w:cs="Arial"/>
          <w:sz w:val="22"/>
          <w:szCs w:val="22"/>
        </w:rPr>
      </w:pPr>
      <w:r w:rsidRPr="00890467">
        <w:rPr>
          <w:rFonts w:ascii="Arial" w:hAnsi="Arial" w:cs="Arial"/>
          <w:sz w:val="22"/>
          <w:szCs w:val="22"/>
        </w:rPr>
        <w:t>2009-2011</w:t>
      </w:r>
      <w:r w:rsidRPr="00890467">
        <w:rPr>
          <w:rFonts w:ascii="Arial" w:hAnsi="Arial" w:cs="Arial"/>
          <w:sz w:val="22"/>
          <w:szCs w:val="22"/>
        </w:rPr>
        <w:tab/>
        <w:t>American Pain Society Educational Committee</w:t>
      </w:r>
    </w:p>
    <w:p w14:paraId="2493A4F0" w14:textId="55CAB1E7" w:rsidR="00486F2F" w:rsidRDefault="00486F2F" w:rsidP="009C0455">
      <w:pPr>
        <w:tabs>
          <w:tab w:val="left" w:pos="720"/>
          <w:tab w:val="left" w:pos="1440"/>
          <w:tab w:val="left" w:pos="5220"/>
        </w:tabs>
        <w:ind w:left="1620" w:hanging="1620"/>
        <w:jc w:val="both"/>
        <w:rPr>
          <w:rFonts w:ascii="Arial" w:hAnsi="Arial" w:cs="Arial"/>
          <w:sz w:val="22"/>
          <w:szCs w:val="22"/>
        </w:rPr>
      </w:pPr>
      <w:r>
        <w:rPr>
          <w:rFonts w:ascii="Arial" w:hAnsi="Arial" w:cs="Arial"/>
          <w:sz w:val="22"/>
          <w:szCs w:val="22"/>
        </w:rPr>
        <w:t>2017-2019</w:t>
      </w:r>
      <w:r>
        <w:rPr>
          <w:rFonts w:ascii="Arial" w:hAnsi="Arial" w:cs="Arial"/>
          <w:sz w:val="22"/>
          <w:szCs w:val="22"/>
        </w:rPr>
        <w:tab/>
        <w:t xml:space="preserve">Member, </w:t>
      </w:r>
      <w:r w:rsidRPr="00486F2F">
        <w:rPr>
          <w:rFonts w:ascii="Arial" w:hAnsi="Arial" w:cs="Arial"/>
          <w:sz w:val="22"/>
          <w:szCs w:val="22"/>
        </w:rPr>
        <w:t>Interagency Pain Research Coordinating Committee (IPRCC)</w:t>
      </w:r>
    </w:p>
    <w:p w14:paraId="6D15F4BD" w14:textId="208FDB97" w:rsidR="002E6924" w:rsidRPr="00890467" w:rsidRDefault="002E6924" w:rsidP="009C0455">
      <w:pPr>
        <w:tabs>
          <w:tab w:val="left" w:pos="720"/>
          <w:tab w:val="left" w:pos="1440"/>
          <w:tab w:val="left" w:pos="5220"/>
        </w:tabs>
        <w:ind w:left="1620" w:hanging="1620"/>
        <w:jc w:val="both"/>
        <w:rPr>
          <w:rFonts w:ascii="Arial" w:hAnsi="Arial" w:cs="Arial"/>
          <w:sz w:val="22"/>
          <w:szCs w:val="22"/>
        </w:rPr>
      </w:pPr>
      <w:r>
        <w:rPr>
          <w:rFonts w:ascii="Arial" w:hAnsi="Arial" w:cs="Arial"/>
          <w:sz w:val="22"/>
          <w:szCs w:val="22"/>
        </w:rPr>
        <w:t>2014-</w:t>
      </w:r>
      <w:r w:rsidR="00486F2F">
        <w:rPr>
          <w:rFonts w:ascii="Arial" w:hAnsi="Arial" w:cs="Arial"/>
          <w:sz w:val="22"/>
          <w:szCs w:val="22"/>
        </w:rPr>
        <w:t>2022</w:t>
      </w:r>
      <w:r>
        <w:rPr>
          <w:rFonts w:ascii="Arial" w:hAnsi="Arial" w:cs="Arial"/>
          <w:sz w:val="22"/>
          <w:szCs w:val="22"/>
        </w:rPr>
        <w:tab/>
        <w:t>Member</w:t>
      </w:r>
      <w:r w:rsidRPr="002E6924">
        <w:rPr>
          <w:rFonts w:ascii="Arial" w:hAnsi="Arial" w:cs="Arial"/>
          <w:sz w:val="22"/>
          <w:szCs w:val="22"/>
        </w:rPr>
        <w:t>, Board of Directors, Palo Alto Institute for Research and Education (PAVIR)</w:t>
      </w:r>
    </w:p>
    <w:p w14:paraId="7E5AECBE" w14:textId="49E7FAA2" w:rsidR="009C0455" w:rsidRPr="00890467" w:rsidRDefault="009C0455" w:rsidP="009C0455">
      <w:pPr>
        <w:tabs>
          <w:tab w:val="left" w:pos="720"/>
          <w:tab w:val="left" w:pos="1440"/>
          <w:tab w:val="left" w:pos="5220"/>
        </w:tabs>
        <w:ind w:left="1620" w:hanging="1620"/>
        <w:jc w:val="both"/>
        <w:rPr>
          <w:rFonts w:ascii="Arial" w:hAnsi="Arial" w:cs="Arial"/>
          <w:sz w:val="22"/>
          <w:szCs w:val="22"/>
        </w:rPr>
      </w:pPr>
      <w:r w:rsidRPr="00890467">
        <w:rPr>
          <w:rFonts w:ascii="Arial" w:hAnsi="Arial" w:cs="Arial"/>
          <w:sz w:val="22"/>
          <w:szCs w:val="22"/>
        </w:rPr>
        <w:t>2013-</w:t>
      </w:r>
      <w:r w:rsidR="00486F2F">
        <w:rPr>
          <w:rFonts w:ascii="Arial" w:hAnsi="Arial" w:cs="Arial"/>
          <w:sz w:val="22"/>
          <w:szCs w:val="22"/>
        </w:rPr>
        <w:t>2022</w:t>
      </w:r>
      <w:r w:rsidRPr="00890467">
        <w:rPr>
          <w:rFonts w:ascii="Arial" w:hAnsi="Arial" w:cs="Arial"/>
          <w:sz w:val="22"/>
          <w:szCs w:val="22"/>
        </w:rPr>
        <w:tab/>
      </w:r>
      <w:r w:rsidR="002E6924">
        <w:rPr>
          <w:rFonts w:ascii="Arial" w:hAnsi="Arial" w:cs="Arial"/>
          <w:sz w:val="22"/>
          <w:szCs w:val="22"/>
        </w:rPr>
        <w:t>Handling Editor</w:t>
      </w:r>
      <w:r w:rsidRPr="00890467">
        <w:rPr>
          <w:rFonts w:ascii="Arial" w:hAnsi="Arial" w:cs="Arial"/>
          <w:sz w:val="22"/>
          <w:szCs w:val="22"/>
        </w:rPr>
        <w:t xml:space="preserve">, </w:t>
      </w:r>
      <w:r w:rsidRPr="00890467">
        <w:rPr>
          <w:rFonts w:ascii="Arial" w:hAnsi="Arial" w:cs="Arial"/>
          <w:i/>
          <w:sz w:val="22"/>
          <w:szCs w:val="22"/>
        </w:rPr>
        <w:t>Anesthesiology</w:t>
      </w:r>
    </w:p>
    <w:p w14:paraId="01393F6C" w14:textId="6386FD54" w:rsidR="009C0455" w:rsidRPr="00890467" w:rsidRDefault="009C0455" w:rsidP="009C0455">
      <w:pPr>
        <w:pStyle w:val="DataField11pt-Single"/>
        <w:rPr>
          <w:szCs w:val="22"/>
        </w:rPr>
      </w:pPr>
      <w:r w:rsidRPr="00890467">
        <w:rPr>
          <w:szCs w:val="22"/>
        </w:rPr>
        <w:t>2013-</w:t>
      </w:r>
      <w:r w:rsidR="00486F2F">
        <w:rPr>
          <w:szCs w:val="22"/>
        </w:rPr>
        <w:t>2021</w:t>
      </w:r>
      <w:r w:rsidRPr="00890467">
        <w:rPr>
          <w:szCs w:val="22"/>
        </w:rPr>
        <w:tab/>
      </w:r>
      <w:r w:rsidRPr="00890467">
        <w:rPr>
          <w:szCs w:val="22"/>
        </w:rPr>
        <w:tab/>
        <w:t>Chair, Palo Alto VA Research and Development Committee</w:t>
      </w:r>
    </w:p>
    <w:p w14:paraId="0C42B23B" w14:textId="77777777" w:rsidR="009C0455" w:rsidRPr="00280DC2" w:rsidRDefault="009C0455" w:rsidP="009C0455">
      <w:pPr>
        <w:jc w:val="both"/>
        <w:rPr>
          <w:rFonts w:ascii="Arial" w:hAnsi="Arial" w:cs="Arial"/>
          <w:sz w:val="22"/>
          <w:szCs w:val="22"/>
        </w:rPr>
      </w:pPr>
    </w:p>
    <w:p w14:paraId="75BC4A69" w14:textId="77777777" w:rsidR="009C0455" w:rsidRDefault="009C0455" w:rsidP="00410BFE">
      <w:pPr>
        <w:pStyle w:val="DataField11pt-Single"/>
        <w:jc w:val="both"/>
        <w:rPr>
          <w:b/>
          <w:szCs w:val="22"/>
        </w:rPr>
      </w:pPr>
    </w:p>
    <w:p w14:paraId="537FA6B3" w14:textId="77777777" w:rsidR="00632571" w:rsidRDefault="00870F9E" w:rsidP="00632571">
      <w:pPr>
        <w:pStyle w:val="DataField11pt-Single"/>
        <w:spacing w:after="120"/>
        <w:rPr>
          <w:rStyle w:val="Strong"/>
        </w:rPr>
      </w:pPr>
      <w:r>
        <w:rPr>
          <w:rStyle w:val="Strong"/>
        </w:rPr>
        <w:t>C. Contribution to Science</w:t>
      </w:r>
    </w:p>
    <w:p w14:paraId="632B0FB2" w14:textId="77777777" w:rsidR="00632571" w:rsidRDefault="00632571" w:rsidP="00632571">
      <w:pPr>
        <w:pStyle w:val="DataField11pt-Single"/>
        <w:spacing w:after="120"/>
        <w:rPr>
          <w:rStyle w:val="Strong"/>
          <w:b w:val="0"/>
        </w:rPr>
      </w:pPr>
      <w:r>
        <w:rPr>
          <w:rStyle w:val="Strong"/>
          <w:b w:val="0"/>
        </w:rPr>
        <w:t>A complete bibliography can be found at the following URL:</w:t>
      </w:r>
    </w:p>
    <w:p w14:paraId="0606045F" w14:textId="77777777" w:rsidR="00632571" w:rsidRPr="00632571" w:rsidRDefault="00632571" w:rsidP="00632571">
      <w:pPr>
        <w:pStyle w:val="DataField11pt-Single"/>
        <w:spacing w:after="120"/>
        <w:rPr>
          <w:rStyle w:val="Strong"/>
          <w:b w:val="0"/>
        </w:rPr>
      </w:pPr>
      <w:r w:rsidRPr="00632571">
        <w:rPr>
          <w:rStyle w:val="Strong"/>
          <w:b w:val="0"/>
        </w:rPr>
        <w:t>http://www.ncbi.nlm.nih.gov/sites/myncbi/david.clark.3/bibliography/46067182/public/?sort=date&amp;direction=descending</w:t>
      </w:r>
    </w:p>
    <w:p w14:paraId="2FE268C9" w14:textId="77777777" w:rsidR="003E0582" w:rsidRDefault="003E0582" w:rsidP="003E0582">
      <w:pPr>
        <w:pStyle w:val="DataField11pt-Single"/>
        <w:spacing w:after="120"/>
        <w:jc w:val="both"/>
        <w:rPr>
          <w:szCs w:val="22"/>
        </w:rPr>
      </w:pPr>
      <w:r>
        <w:rPr>
          <w:szCs w:val="22"/>
          <w:u w:val="single"/>
        </w:rPr>
        <w:t>Maladaptive responses to chronic opioid administration</w:t>
      </w:r>
      <w:r>
        <w:rPr>
          <w:szCs w:val="22"/>
        </w:rPr>
        <w:t xml:space="preserve"> – Our research group and closely affiliated collaborators have provided key insights into the mechanisms governing tolerance, dependence and other changes related to the ongoing use of opioids. We have used mouse, rat and highly unique human models. We have studied central and peripheral mechanisms involving inflammatory mediators, neuropeptide signaling, neurotrophin production, genetics and epigenetics. Human studies have used volunteers in which to study acute tolerance and hyperalgesia. More recently we have </w:t>
      </w:r>
      <w:r w:rsidRPr="00164214">
        <w:rPr>
          <w:i/>
          <w:szCs w:val="22"/>
        </w:rPr>
        <w:t>prospectively</w:t>
      </w:r>
      <w:r>
        <w:rPr>
          <w:szCs w:val="22"/>
        </w:rPr>
        <w:t xml:space="preserve"> followed the development of tolerance, opioid-induced hyperalgesia and physical dependence in chronic pain patients receiving opioids. We are using these models to assess the clinical utility of maladaptation prevention strategies suggested by our laboratory rodent work.</w:t>
      </w:r>
    </w:p>
    <w:p w14:paraId="1BDAAA4F" w14:textId="77777777" w:rsidR="003E0582" w:rsidRPr="00757583" w:rsidRDefault="003E0582" w:rsidP="003E0582">
      <w:pPr>
        <w:pStyle w:val="DataField11pt-Single"/>
        <w:ind w:firstLine="180"/>
        <w:jc w:val="both"/>
        <w:rPr>
          <w:i/>
          <w:szCs w:val="22"/>
        </w:rPr>
      </w:pPr>
      <w:r>
        <w:rPr>
          <w:i/>
          <w:szCs w:val="22"/>
        </w:rPr>
        <w:t>Selected references</w:t>
      </w:r>
    </w:p>
    <w:p w14:paraId="2EC45086" w14:textId="77777777" w:rsidR="003E0582" w:rsidRPr="00036042" w:rsidRDefault="003E0582" w:rsidP="003E0582">
      <w:pPr>
        <w:pStyle w:val="DataField11pt-Single"/>
        <w:ind w:firstLine="180"/>
        <w:jc w:val="both"/>
        <w:rPr>
          <w:szCs w:val="22"/>
        </w:rPr>
      </w:pPr>
      <w:r>
        <w:rPr>
          <w:szCs w:val="22"/>
        </w:rPr>
        <w:t>a</w:t>
      </w:r>
      <w:r w:rsidRPr="00036042">
        <w:rPr>
          <w:szCs w:val="22"/>
        </w:rPr>
        <w:t>.</w:t>
      </w:r>
      <w:r w:rsidRPr="00036042">
        <w:rPr>
          <w:szCs w:val="22"/>
        </w:rPr>
        <w:tab/>
        <w:t>Angst, M.S., et al., No evidence for the development of acute tolerance to analgesic, respiratory depressant and sedative opioid effects in humans. Pain, 2009. 142(1-2): p. 17-26.</w:t>
      </w:r>
    </w:p>
    <w:p w14:paraId="3C51E485" w14:textId="77777777" w:rsidR="003E0582" w:rsidRPr="00036042" w:rsidRDefault="003E0582" w:rsidP="003E0582">
      <w:pPr>
        <w:pStyle w:val="DataField11pt-Single"/>
        <w:ind w:firstLine="180"/>
        <w:jc w:val="both"/>
        <w:rPr>
          <w:szCs w:val="22"/>
        </w:rPr>
      </w:pPr>
      <w:r>
        <w:rPr>
          <w:szCs w:val="22"/>
        </w:rPr>
        <w:t>b</w:t>
      </w:r>
      <w:r w:rsidRPr="00036042">
        <w:rPr>
          <w:szCs w:val="22"/>
        </w:rPr>
        <w:t>.</w:t>
      </w:r>
      <w:r w:rsidRPr="00036042">
        <w:rPr>
          <w:szCs w:val="22"/>
        </w:rPr>
        <w:tab/>
        <w:t xml:space="preserve">Chu, L.F., et al., Modulation of remifentanil-induced </w:t>
      </w:r>
      <w:proofErr w:type="spellStart"/>
      <w:r w:rsidRPr="00036042">
        <w:rPr>
          <w:szCs w:val="22"/>
        </w:rPr>
        <w:t>postinfusion</w:t>
      </w:r>
      <w:proofErr w:type="spellEnd"/>
      <w:r w:rsidRPr="00036042">
        <w:rPr>
          <w:szCs w:val="22"/>
        </w:rPr>
        <w:t xml:space="preserve"> hyperalgesia by the beta-blocker propranolol in humans. Pain, 2012. 153(5): p. 974-81.</w:t>
      </w:r>
    </w:p>
    <w:p w14:paraId="2CB892DE" w14:textId="77777777" w:rsidR="003E0582" w:rsidRPr="00036042" w:rsidRDefault="003E0582" w:rsidP="003E0582">
      <w:pPr>
        <w:pStyle w:val="DataField11pt-Single"/>
        <w:ind w:firstLine="180"/>
        <w:jc w:val="both"/>
        <w:rPr>
          <w:szCs w:val="22"/>
        </w:rPr>
      </w:pPr>
      <w:r>
        <w:rPr>
          <w:szCs w:val="22"/>
        </w:rPr>
        <w:t>c</w:t>
      </w:r>
      <w:r w:rsidRPr="00036042">
        <w:rPr>
          <w:szCs w:val="22"/>
        </w:rPr>
        <w:t>.</w:t>
      </w:r>
      <w:r w:rsidRPr="00036042">
        <w:rPr>
          <w:szCs w:val="22"/>
        </w:rPr>
        <w:tab/>
      </w:r>
      <w:r>
        <w:rPr>
          <w:szCs w:val="22"/>
        </w:rPr>
        <w:t xml:space="preserve"> </w:t>
      </w:r>
      <w:r>
        <w:rPr>
          <w:szCs w:val="22"/>
        </w:rPr>
        <w:tab/>
      </w:r>
      <w:r w:rsidRPr="00036042">
        <w:rPr>
          <w:szCs w:val="22"/>
        </w:rPr>
        <w:t>Liang, D., et al., Chronic morphine administration enhances nociceptive sensitivity and local cytokine production after incision. Mol Pain, 2008. 4: p. 7.</w:t>
      </w:r>
    </w:p>
    <w:p w14:paraId="3FE70C3D" w14:textId="77777777" w:rsidR="003E0582" w:rsidRDefault="003E0582" w:rsidP="003E0582">
      <w:pPr>
        <w:pStyle w:val="DataField11pt-Single"/>
        <w:ind w:firstLine="180"/>
        <w:jc w:val="both"/>
        <w:rPr>
          <w:szCs w:val="22"/>
        </w:rPr>
      </w:pPr>
      <w:r>
        <w:rPr>
          <w:szCs w:val="22"/>
        </w:rPr>
        <w:t>d</w:t>
      </w:r>
      <w:r w:rsidRPr="00036042">
        <w:rPr>
          <w:szCs w:val="22"/>
        </w:rPr>
        <w:t>.</w:t>
      </w:r>
      <w:r w:rsidRPr="00036042">
        <w:rPr>
          <w:szCs w:val="22"/>
        </w:rPr>
        <w:tab/>
        <w:t>Liang, D.Y., et al., The Netrin-1 receptor DCC is a regulator of maladaptive responses to chronic morphine administration. BMC Genomics, 2014. 15: p. 345.</w:t>
      </w:r>
    </w:p>
    <w:p w14:paraId="1DCD65D7" w14:textId="77777777" w:rsidR="003E0582" w:rsidRPr="00036042" w:rsidRDefault="003E0582" w:rsidP="003E0582">
      <w:pPr>
        <w:pStyle w:val="DataField11pt-Single"/>
        <w:ind w:firstLine="180"/>
        <w:jc w:val="both"/>
        <w:rPr>
          <w:szCs w:val="22"/>
        </w:rPr>
      </w:pPr>
      <w:r>
        <w:rPr>
          <w:szCs w:val="22"/>
        </w:rPr>
        <w:t xml:space="preserve">e. </w:t>
      </w:r>
      <w:r>
        <w:rPr>
          <w:szCs w:val="22"/>
        </w:rPr>
        <w:tab/>
      </w:r>
      <w:r w:rsidRPr="006B5D06">
        <w:rPr>
          <w:szCs w:val="22"/>
        </w:rPr>
        <w:t>Mudumbai,</w:t>
      </w:r>
      <w:r>
        <w:rPr>
          <w:szCs w:val="22"/>
        </w:rPr>
        <w:t xml:space="preserve"> S., et al., </w:t>
      </w:r>
      <w:r w:rsidRPr="006B5D06">
        <w:rPr>
          <w:szCs w:val="22"/>
        </w:rPr>
        <w:t>Time-to-Cessation of Postoperative Opioids: A Population-Level Analysis of the Veterans Affairs Healthcare System. Pain Medicine. (In Press).</w:t>
      </w:r>
    </w:p>
    <w:p w14:paraId="6BC8AF3C" w14:textId="77777777" w:rsidR="003E0582" w:rsidRDefault="003E0582" w:rsidP="00A07C6A">
      <w:pPr>
        <w:pStyle w:val="DataField11pt-Single"/>
        <w:spacing w:after="120"/>
        <w:jc w:val="both"/>
        <w:rPr>
          <w:szCs w:val="22"/>
          <w:u w:val="single"/>
        </w:rPr>
      </w:pPr>
    </w:p>
    <w:p w14:paraId="0CF7919A" w14:textId="77777777" w:rsidR="00870F9E" w:rsidRDefault="00797434" w:rsidP="00A07C6A">
      <w:pPr>
        <w:pStyle w:val="DataField11pt-Single"/>
        <w:spacing w:after="120"/>
        <w:jc w:val="both"/>
        <w:rPr>
          <w:szCs w:val="22"/>
        </w:rPr>
      </w:pPr>
      <w:r>
        <w:rPr>
          <w:szCs w:val="22"/>
          <w:u w:val="single"/>
        </w:rPr>
        <w:t>Chronic pain after injuries</w:t>
      </w:r>
      <w:r>
        <w:rPr>
          <w:szCs w:val="22"/>
        </w:rPr>
        <w:t xml:space="preserve"> – My research program has combined laboratory and clinical research as well as an international group of collaborators to understand mechanisms supporting chronic pain after limb trauma. Our group has developed models of limb injury involving fracture and immobilization in mice and rats. </w:t>
      </w:r>
      <w:r w:rsidR="00A07C6A">
        <w:rPr>
          <w:szCs w:val="22"/>
        </w:rPr>
        <w:t xml:space="preserve">Recently we have developed models of </w:t>
      </w:r>
      <w:r w:rsidR="00EA3856">
        <w:rPr>
          <w:szCs w:val="22"/>
        </w:rPr>
        <w:t xml:space="preserve">chronic </w:t>
      </w:r>
      <w:r w:rsidR="00A07C6A">
        <w:rPr>
          <w:szCs w:val="22"/>
        </w:rPr>
        <w:t xml:space="preserve">pain related to traumatic brain injury </w:t>
      </w:r>
      <w:r w:rsidR="002E220B">
        <w:rPr>
          <w:szCs w:val="22"/>
        </w:rPr>
        <w:t xml:space="preserve">(TBI) </w:t>
      </w:r>
      <w:r w:rsidR="00A07C6A">
        <w:rPr>
          <w:szCs w:val="22"/>
        </w:rPr>
        <w:t>in mice and rats</w:t>
      </w:r>
      <w:r w:rsidR="00EA3856">
        <w:rPr>
          <w:szCs w:val="22"/>
        </w:rPr>
        <w:t xml:space="preserve"> as well</w:t>
      </w:r>
      <w:r w:rsidR="00A07C6A">
        <w:rPr>
          <w:szCs w:val="22"/>
        </w:rPr>
        <w:t xml:space="preserve">. </w:t>
      </w:r>
      <w:r w:rsidR="002E220B">
        <w:rPr>
          <w:szCs w:val="22"/>
        </w:rPr>
        <w:t xml:space="preserve">We have begun to discover some of the mechanisms involved in chronic TBI pain. </w:t>
      </w:r>
      <w:r>
        <w:rPr>
          <w:szCs w:val="22"/>
        </w:rPr>
        <w:t xml:space="preserve">Using these models we have completed extensive studies </w:t>
      </w:r>
      <w:r w:rsidR="001F6AEC">
        <w:rPr>
          <w:szCs w:val="22"/>
        </w:rPr>
        <w:t>on neuropeptide and adrenergic control of mediators in skin, deep tissue and bone after injury. We have followed nociceptive, vascular, cognitive and emotional endpoints in r</w:t>
      </w:r>
      <w:r w:rsidR="00EA3856">
        <w:rPr>
          <w:szCs w:val="22"/>
        </w:rPr>
        <w:t xml:space="preserve">odent subjects. Biochemical, </w:t>
      </w:r>
      <w:r w:rsidR="001F6AEC">
        <w:rPr>
          <w:szCs w:val="22"/>
        </w:rPr>
        <w:t xml:space="preserve">cytoarchitectural </w:t>
      </w:r>
      <w:r w:rsidR="00EA3856">
        <w:rPr>
          <w:szCs w:val="22"/>
        </w:rPr>
        <w:t xml:space="preserve">and electrophysiological </w:t>
      </w:r>
      <w:r w:rsidR="001F6AEC">
        <w:rPr>
          <w:szCs w:val="22"/>
        </w:rPr>
        <w:t xml:space="preserve">studies of brain tissue have been completed. These studies have more recently involved a focus on innate and adaptive immune mechanisms. Human studies have examined tissues from patients suffering from chronic limb pain. </w:t>
      </w:r>
      <w:r w:rsidR="00EA3856">
        <w:rPr>
          <w:szCs w:val="22"/>
        </w:rPr>
        <w:t>In addition, w</w:t>
      </w:r>
      <w:r w:rsidR="001F6AEC">
        <w:rPr>
          <w:szCs w:val="22"/>
        </w:rPr>
        <w:t>e have developed a highly innovative method of following limb pain in humans after surgical injury</w:t>
      </w:r>
      <w:r w:rsidR="00A07C6A">
        <w:rPr>
          <w:szCs w:val="22"/>
        </w:rPr>
        <w:t>, and combined tissue analysis with quantitative sensory testing in these subjects</w:t>
      </w:r>
      <w:r w:rsidR="00EA3856">
        <w:rPr>
          <w:szCs w:val="22"/>
        </w:rPr>
        <w:t xml:space="preserve"> facilitating translation of our laboratory work</w:t>
      </w:r>
      <w:r w:rsidR="001F6AEC">
        <w:rPr>
          <w:szCs w:val="22"/>
        </w:rPr>
        <w:t xml:space="preserve">. </w:t>
      </w:r>
    </w:p>
    <w:p w14:paraId="10997DB7" w14:textId="77777777" w:rsidR="004A046C" w:rsidRPr="004A046C" w:rsidRDefault="004A046C" w:rsidP="004A046C">
      <w:pPr>
        <w:pStyle w:val="DataField11pt-Single"/>
        <w:ind w:firstLine="187"/>
        <w:jc w:val="both"/>
        <w:rPr>
          <w:i/>
          <w:szCs w:val="22"/>
        </w:rPr>
      </w:pPr>
      <w:r w:rsidRPr="004A046C">
        <w:rPr>
          <w:i/>
          <w:szCs w:val="22"/>
        </w:rPr>
        <w:t>Selected references</w:t>
      </w:r>
    </w:p>
    <w:p w14:paraId="6B7894DE" w14:textId="77777777" w:rsidR="00A07C6A" w:rsidRPr="00A07C6A" w:rsidRDefault="00B5567C" w:rsidP="004A046C">
      <w:pPr>
        <w:pStyle w:val="DataField11pt-Single"/>
        <w:ind w:firstLine="180"/>
        <w:jc w:val="both"/>
        <w:rPr>
          <w:szCs w:val="22"/>
        </w:rPr>
      </w:pPr>
      <w:r>
        <w:rPr>
          <w:szCs w:val="22"/>
        </w:rPr>
        <w:t>a</w:t>
      </w:r>
      <w:r w:rsidR="00A07C6A" w:rsidRPr="00A07C6A">
        <w:rPr>
          <w:szCs w:val="22"/>
        </w:rPr>
        <w:t>.</w:t>
      </w:r>
      <w:r w:rsidR="00A07C6A" w:rsidRPr="00A07C6A">
        <w:rPr>
          <w:szCs w:val="22"/>
        </w:rPr>
        <w:tab/>
        <w:t>Birklein, F., et al., Activation of cutaneous immune responses in complex regional pain syndrome. J Pain, 2014. 15(5): p. 485-95.</w:t>
      </w:r>
    </w:p>
    <w:p w14:paraId="0BF3FC1E" w14:textId="77777777" w:rsidR="00A07C6A" w:rsidRPr="00A07C6A" w:rsidRDefault="00B5567C" w:rsidP="004A046C">
      <w:pPr>
        <w:pStyle w:val="DataField11pt-Single"/>
        <w:ind w:firstLine="180"/>
        <w:jc w:val="both"/>
        <w:rPr>
          <w:szCs w:val="22"/>
        </w:rPr>
      </w:pPr>
      <w:r>
        <w:rPr>
          <w:szCs w:val="22"/>
        </w:rPr>
        <w:t>b</w:t>
      </w:r>
      <w:r w:rsidR="00A07C6A" w:rsidRPr="00A07C6A">
        <w:rPr>
          <w:szCs w:val="22"/>
        </w:rPr>
        <w:t>.</w:t>
      </w:r>
      <w:r w:rsidR="00A07C6A" w:rsidRPr="00A07C6A">
        <w:rPr>
          <w:szCs w:val="22"/>
        </w:rPr>
        <w:tab/>
        <w:t xml:space="preserve">Feliciano, D.P., et al., Nociceptive sensitization and BDNF up-regulation in a rat model of traumatic brain injury. </w:t>
      </w:r>
      <w:proofErr w:type="spellStart"/>
      <w:r w:rsidR="00A07C6A" w:rsidRPr="00A07C6A">
        <w:rPr>
          <w:szCs w:val="22"/>
        </w:rPr>
        <w:t>Neurosci</w:t>
      </w:r>
      <w:proofErr w:type="spellEnd"/>
      <w:r w:rsidR="00A07C6A" w:rsidRPr="00A07C6A">
        <w:rPr>
          <w:szCs w:val="22"/>
        </w:rPr>
        <w:t xml:space="preserve"> Lett, 2014. 583: p. 55-9.</w:t>
      </w:r>
    </w:p>
    <w:p w14:paraId="2A1BBAEE" w14:textId="77777777" w:rsidR="00A07C6A" w:rsidRPr="00A07C6A" w:rsidRDefault="00B5567C" w:rsidP="004A046C">
      <w:pPr>
        <w:pStyle w:val="DataField11pt-Single"/>
        <w:ind w:firstLine="180"/>
        <w:jc w:val="both"/>
        <w:rPr>
          <w:szCs w:val="22"/>
        </w:rPr>
      </w:pPr>
      <w:r>
        <w:rPr>
          <w:szCs w:val="22"/>
        </w:rPr>
        <w:t>c</w:t>
      </w:r>
      <w:r w:rsidR="00A07C6A" w:rsidRPr="00A07C6A">
        <w:rPr>
          <w:szCs w:val="22"/>
        </w:rPr>
        <w:t>.</w:t>
      </w:r>
      <w:r w:rsidR="00A07C6A" w:rsidRPr="00A07C6A">
        <w:rPr>
          <w:szCs w:val="22"/>
        </w:rPr>
        <w:tab/>
      </w:r>
      <w:r w:rsidR="008B68DC">
        <w:rPr>
          <w:szCs w:val="22"/>
        </w:rPr>
        <w:tab/>
      </w:r>
      <w:r w:rsidR="00A07C6A" w:rsidRPr="00A07C6A">
        <w:rPr>
          <w:szCs w:val="22"/>
        </w:rPr>
        <w:t>Li, W.W., et al., Autoimmunity contributes to nociceptive sensitization in a mouse model of complex regional pain syndrome. Pain, 2014. 155(11): p. 2377-89.</w:t>
      </w:r>
    </w:p>
    <w:p w14:paraId="04DF0080" w14:textId="77777777" w:rsidR="00A07C6A" w:rsidRDefault="00B5567C" w:rsidP="004A046C">
      <w:pPr>
        <w:pStyle w:val="DataField11pt-Single"/>
        <w:ind w:firstLine="180"/>
        <w:jc w:val="both"/>
        <w:rPr>
          <w:szCs w:val="22"/>
        </w:rPr>
      </w:pPr>
      <w:r>
        <w:rPr>
          <w:szCs w:val="22"/>
        </w:rPr>
        <w:lastRenderedPageBreak/>
        <w:t>d</w:t>
      </w:r>
      <w:r w:rsidR="00A07C6A" w:rsidRPr="00A07C6A">
        <w:rPr>
          <w:szCs w:val="22"/>
        </w:rPr>
        <w:t>.</w:t>
      </w:r>
      <w:r w:rsidR="00A07C6A" w:rsidRPr="00A07C6A">
        <w:rPr>
          <w:szCs w:val="22"/>
        </w:rPr>
        <w:tab/>
        <w:t>Tajerian, M., et al., Brain neuroplastic changes accompany anxiety and memory deficits in a model of complex regional pain syndrome. Anesthesiology, 2014. 121(4): p. 852-65.</w:t>
      </w:r>
    </w:p>
    <w:p w14:paraId="7A22DF46" w14:textId="77777777" w:rsidR="006B5D06" w:rsidRDefault="006B5D06" w:rsidP="004A046C">
      <w:pPr>
        <w:pStyle w:val="DataField11pt-Single"/>
        <w:ind w:firstLine="180"/>
        <w:jc w:val="both"/>
        <w:rPr>
          <w:szCs w:val="22"/>
        </w:rPr>
      </w:pPr>
      <w:r>
        <w:rPr>
          <w:szCs w:val="22"/>
        </w:rPr>
        <w:t xml:space="preserve">e. </w:t>
      </w:r>
      <w:r>
        <w:rPr>
          <w:szCs w:val="22"/>
        </w:rPr>
        <w:tab/>
      </w:r>
      <w:r w:rsidRPr="006B5D06">
        <w:rPr>
          <w:szCs w:val="22"/>
        </w:rPr>
        <w:t xml:space="preserve">Wei, </w:t>
      </w:r>
      <w:r>
        <w:rPr>
          <w:szCs w:val="22"/>
        </w:rPr>
        <w:t xml:space="preserve">T., et al., </w:t>
      </w:r>
      <w:r w:rsidRPr="006B5D06">
        <w:rPr>
          <w:szCs w:val="22"/>
        </w:rPr>
        <w:t>Acute versus chronic phase mechanisms in a rat model of CRPS. J. Neuroinflammation. (In Press).</w:t>
      </w:r>
    </w:p>
    <w:p w14:paraId="26DC8A26" w14:textId="77777777" w:rsidR="002E220B" w:rsidRDefault="002E220B" w:rsidP="004A046C">
      <w:pPr>
        <w:pStyle w:val="DataField11pt-Single"/>
        <w:ind w:firstLine="180"/>
        <w:jc w:val="both"/>
        <w:rPr>
          <w:szCs w:val="22"/>
        </w:rPr>
      </w:pPr>
    </w:p>
    <w:p w14:paraId="75ACA83F" w14:textId="77777777" w:rsidR="002E220B" w:rsidRPr="002E220B" w:rsidRDefault="002E220B" w:rsidP="002E220B">
      <w:pPr>
        <w:pStyle w:val="DataField11pt-Single"/>
        <w:spacing w:after="120"/>
        <w:jc w:val="both"/>
        <w:rPr>
          <w:szCs w:val="22"/>
        </w:rPr>
      </w:pPr>
      <w:r w:rsidRPr="002E220B">
        <w:rPr>
          <w:szCs w:val="22"/>
          <w:u w:val="single"/>
        </w:rPr>
        <w:t>Acute pain after injuries</w:t>
      </w:r>
      <w:r w:rsidRPr="002E220B">
        <w:rPr>
          <w:szCs w:val="22"/>
        </w:rPr>
        <w:t xml:space="preserve"> – My research program has used both laboratory models and human subjects to study acute pain mechanisms. Rodent studies have used models of acute pain including incision, chemical irritants and modality-specific stimuli such as thermal, mechanical and pressure to elucidate pain mechanisms. We have extensive experience examining the liberation of mediators in skin and deep tissues with primary afferent nociceptors as well as the activation of neurons and glia within the spinal cord. Behavioral, pharmacological, molecular and genetic tools have been employed in this work. Systems studied in detail by the laboratory include monoxide (NO/CO), neuropeptide, complement and cytokine signaling pathways. Our group has collaborated extensively with industry and other field leaders in this work, particularly on projects related to pain after soft tissue injury and surgery. There we have placed a very significant amount of effort on the control of production components of the innate system of immunity and blockade of their associated receptors. In human volunteers we have used freeze, UV burn and chemical sensitization models to study pain pathways, the role of neuropeptides and the production of cytokine mediators. Our current work is directed at understanding how innate immunity can be modulated after injury to reduce pain while preserving infection resistance and tissue healing functions.</w:t>
      </w:r>
    </w:p>
    <w:p w14:paraId="7BBF6DEC" w14:textId="77777777" w:rsidR="002E220B" w:rsidRPr="002E220B" w:rsidRDefault="002E220B" w:rsidP="002E220B">
      <w:pPr>
        <w:pStyle w:val="DataField11pt-Single"/>
        <w:ind w:firstLine="180"/>
        <w:jc w:val="both"/>
        <w:rPr>
          <w:i/>
          <w:szCs w:val="22"/>
        </w:rPr>
      </w:pPr>
      <w:r w:rsidRPr="002E220B">
        <w:rPr>
          <w:i/>
          <w:szCs w:val="22"/>
        </w:rPr>
        <w:t>Selected references</w:t>
      </w:r>
    </w:p>
    <w:p w14:paraId="79E8EC72" w14:textId="77777777" w:rsidR="002E220B" w:rsidRPr="002E220B" w:rsidRDefault="00B5567C" w:rsidP="002E220B">
      <w:pPr>
        <w:pStyle w:val="DataField11pt-Single"/>
        <w:ind w:firstLine="180"/>
        <w:jc w:val="both"/>
        <w:rPr>
          <w:szCs w:val="22"/>
        </w:rPr>
      </w:pPr>
      <w:r>
        <w:rPr>
          <w:szCs w:val="22"/>
        </w:rPr>
        <w:t>a</w:t>
      </w:r>
      <w:r w:rsidR="002E220B" w:rsidRPr="002E220B">
        <w:rPr>
          <w:szCs w:val="22"/>
        </w:rPr>
        <w:t>.</w:t>
      </w:r>
      <w:r w:rsidR="002E220B" w:rsidRPr="002E220B">
        <w:rPr>
          <w:szCs w:val="22"/>
        </w:rPr>
        <w:tab/>
        <w:t xml:space="preserve">Sahbaie, P., et al., Roles of Gr-1+ leukocytes in </w:t>
      </w:r>
      <w:proofErr w:type="spellStart"/>
      <w:r w:rsidR="002E220B" w:rsidRPr="002E220B">
        <w:rPr>
          <w:szCs w:val="22"/>
        </w:rPr>
        <w:t>postincisional</w:t>
      </w:r>
      <w:proofErr w:type="spellEnd"/>
      <w:r w:rsidR="002E220B" w:rsidRPr="002E220B">
        <w:rPr>
          <w:szCs w:val="22"/>
        </w:rPr>
        <w:t xml:space="preserve"> nociceptive sensitization and inflammation. Anesthesiology, 2012. 117(3): p. 602-12.</w:t>
      </w:r>
    </w:p>
    <w:p w14:paraId="77C3B909" w14:textId="77777777" w:rsidR="002E220B" w:rsidRPr="002E220B" w:rsidRDefault="00B5567C" w:rsidP="002E220B">
      <w:pPr>
        <w:pStyle w:val="DataField11pt-Single"/>
        <w:ind w:firstLine="180"/>
        <w:jc w:val="both"/>
        <w:rPr>
          <w:szCs w:val="22"/>
        </w:rPr>
      </w:pPr>
      <w:r>
        <w:rPr>
          <w:szCs w:val="22"/>
        </w:rPr>
        <w:t>b</w:t>
      </w:r>
      <w:r w:rsidR="002E220B" w:rsidRPr="002E220B">
        <w:rPr>
          <w:szCs w:val="22"/>
        </w:rPr>
        <w:t>.</w:t>
      </w:r>
      <w:r w:rsidR="002E220B" w:rsidRPr="002E220B">
        <w:rPr>
          <w:szCs w:val="22"/>
        </w:rPr>
        <w:tab/>
        <w:t xml:space="preserve">Shi, X., et al., Keratinocytes express cytokines and nerve growth factor in response to neuropeptide activation of the ERK1/2 and JNK MAPK transcription pathways. </w:t>
      </w:r>
      <w:proofErr w:type="spellStart"/>
      <w:r w:rsidR="002E220B" w:rsidRPr="002E220B">
        <w:rPr>
          <w:szCs w:val="22"/>
        </w:rPr>
        <w:t>Regul</w:t>
      </w:r>
      <w:proofErr w:type="spellEnd"/>
      <w:r w:rsidR="002E220B" w:rsidRPr="002E220B">
        <w:rPr>
          <w:szCs w:val="22"/>
        </w:rPr>
        <w:t xml:space="preserve"> </w:t>
      </w:r>
      <w:proofErr w:type="spellStart"/>
      <w:r w:rsidR="002E220B" w:rsidRPr="002E220B">
        <w:rPr>
          <w:szCs w:val="22"/>
        </w:rPr>
        <w:t>Pept</w:t>
      </w:r>
      <w:proofErr w:type="spellEnd"/>
      <w:r w:rsidR="002E220B" w:rsidRPr="002E220B">
        <w:rPr>
          <w:szCs w:val="22"/>
        </w:rPr>
        <w:t>, 2013. 186: p. 92-103.</w:t>
      </w:r>
    </w:p>
    <w:p w14:paraId="2A9E9691" w14:textId="77777777" w:rsidR="002E220B" w:rsidRPr="002E220B" w:rsidRDefault="00B5567C" w:rsidP="002E220B">
      <w:pPr>
        <w:pStyle w:val="DataField11pt-Single"/>
        <w:ind w:firstLine="180"/>
        <w:jc w:val="both"/>
        <w:rPr>
          <w:szCs w:val="22"/>
        </w:rPr>
      </w:pPr>
      <w:r>
        <w:rPr>
          <w:szCs w:val="22"/>
        </w:rPr>
        <w:t>c</w:t>
      </w:r>
      <w:r w:rsidR="002E220B" w:rsidRPr="002E220B">
        <w:rPr>
          <w:szCs w:val="22"/>
        </w:rPr>
        <w:t>.</w:t>
      </w:r>
      <w:r w:rsidR="002E220B" w:rsidRPr="002E220B">
        <w:rPr>
          <w:szCs w:val="22"/>
        </w:rPr>
        <w:tab/>
      </w:r>
      <w:r w:rsidR="008B68DC">
        <w:rPr>
          <w:szCs w:val="22"/>
        </w:rPr>
        <w:tab/>
      </w:r>
      <w:r w:rsidR="002E220B" w:rsidRPr="002E220B">
        <w:rPr>
          <w:szCs w:val="22"/>
        </w:rPr>
        <w:t>Sun, Y., et al., Opioids enhance CXCL1 expression and function after incision in mice. J Pain, 2014. 15(8): p. 856-66.</w:t>
      </w:r>
    </w:p>
    <w:p w14:paraId="2102FBBD" w14:textId="77777777" w:rsidR="002E220B" w:rsidRPr="00A07C6A" w:rsidRDefault="00B5567C" w:rsidP="002E220B">
      <w:pPr>
        <w:pStyle w:val="DataField11pt-Single"/>
        <w:ind w:firstLine="180"/>
        <w:jc w:val="both"/>
        <w:rPr>
          <w:szCs w:val="22"/>
        </w:rPr>
      </w:pPr>
      <w:r>
        <w:rPr>
          <w:szCs w:val="22"/>
        </w:rPr>
        <w:t>d</w:t>
      </w:r>
      <w:r w:rsidR="002E220B" w:rsidRPr="002E220B">
        <w:rPr>
          <w:szCs w:val="22"/>
        </w:rPr>
        <w:t>.</w:t>
      </w:r>
      <w:r w:rsidR="002E220B" w:rsidRPr="002E220B">
        <w:rPr>
          <w:szCs w:val="22"/>
        </w:rPr>
        <w:tab/>
        <w:t>Tajerian, M. and J.D. Clark, The role of the extracellular matrix in chronic pain following injury. Pain, 2015. 156(3): p. 366-70.</w:t>
      </w:r>
    </w:p>
    <w:p w14:paraId="0A804AF2" w14:textId="77777777" w:rsidR="00870F9E" w:rsidRDefault="00870F9E" w:rsidP="00410BFE">
      <w:pPr>
        <w:pStyle w:val="DataField11pt-Single"/>
        <w:jc w:val="both"/>
        <w:rPr>
          <w:b/>
          <w:szCs w:val="22"/>
        </w:rPr>
      </w:pPr>
    </w:p>
    <w:p w14:paraId="76C7CBC0" w14:textId="77777777" w:rsidR="00757583" w:rsidRDefault="00757583" w:rsidP="00757583">
      <w:pPr>
        <w:pStyle w:val="DataField11pt-Single"/>
        <w:spacing w:after="120"/>
        <w:jc w:val="both"/>
        <w:rPr>
          <w:szCs w:val="22"/>
        </w:rPr>
      </w:pPr>
      <w:r>
        <w:rPr>
          <w:szCs w:val="22"/>
          <w:u w:val="single"/>
        </w:rPr>
        <w:t>Genetic and epigenetic control of pain and analgesia</w:t>
      </w:r>
      <w:r>
        <w:rPr>
          <w:szCs w:val="22"/>
        </w:rPr>
        <w:t xml:space="preserve"> – The laboratory and associated collaborators have for more than 10 years studied genetic and epigenetic contributions to pain and analgesic responses. Much of this work has been completed in mice using inbred strains and haplotypic genetic mapping. Using this approach we have discovered several genes contributing to opioid tolerance and dependence</w:t>
      </w:r>
      <w:r w:rsidR="00164214">
        <w:rPr>
          <w:szCs w:val="22"/>
        </w:rPr>
        <w:t xml:space="preserve"> as well as pain signaling</w:t>
      </w:r>
      <w:r>
        <w:rPr>
          <w:szCs w:val="22"/>
        </w:rPr>
        <w:t>. We have used expression genetics to identify genes contributing to spinal mechanisms of pain sensitization. Importantly, we completed a human twin study involving the study of the effects of alfentanil infusion in 250 mono- and dizygotic twins thus establishing the genetic and environmental components of acute opioid responses, side effects and addiction-related responses such as drug liking.</w:t>
      </w:r>
    </w:p>
    <w:p w14:paraId="69E07A89" w14:textId="77777777" w:rsidR="00CE01A8" w:rsidRPr="00CE01A8" w:rsidRDefault="00757583" w:rsidP="00CE01A8">
      <w:pPr>
        <w:pStyle w:val="DataField11pt-Single"/>
        <w:ind w:firstLine="180"/>
        <w:jc w:val="both"/>
        <w:rPr>
          <w:i/>
          <w:szCs w:val="22"/>
        </w:rPr>
      </w:pPr>
      <w:r>
        <w:rPr>
          <w:i/>
          <w:szCs w:val="22"/>
        </w:rPr>
        <w:t>Selected references</w:t>
      </w:r>
    </w:p>
    <w:p w14:paraId="63C9C849" w14:textId="77777777" w:rsidR="00CE01A8" w:rsidRPr="00CE01A8" w:rsidRDefault="00B5567C" w:rsidP="00CE01A8">
      <w:pPr>
        <w:pStyle w:val="DataField11pt-Single"/>
        <w:ind w:firstLine="180"/>
        <w:jc w:val="both"/>
        <w:rPr>
          <w:szCs w:val="22"/>
        </w:rPr>
      </w:pPr>
      <w:r>
        <w:rPr>
          <w:szCs w:val="22"/>
        </w:rPr>
        <w:t>a</w:t>
      </w:r>
      <w:r w:rsidR="00CE01A8" w:rsidRPr="00CE01A8">
        <w:rPr>
          <w:szCs w:val="22"/>
        </w:rPr>
        <w:t>.</w:t>
      </w:r>
      <w:r w:rsidR="00CE01A8" w:rsidRPr="00CE01A8">
        <w:rPr>
          <w:szCs w:val="22"/>
        </w:rPr>
        <w:tab/>
        <w:t>Angst, M.S., et al., Aversive and reinforcing opioid effects: a pharmacogenomic twin study. Anesthesiology, 2012. 117(1): p. 22-37.</w:t>
      </w:r>
    </w:p>
    <w:p w14:paraId="4F1595A6" w14:textId="77777777" w:rsidR="00CE01A8" w:rsidRPr="00CE01A8" w:rsidRDefault="00B5567C" w:rsidP="00CE01A8">
      <w:pPr>
        <w:pStyle w:val="DataField11pt-Single"/>
        <w:ind w:firstLine="180"/>
        <w:jc w:val="both"/>
        <w:rPr>
          <w:szCs w:val="22"/>
        </w:rPr>
      </w:pPr>
      <w:r>
        <w:rPr>
          <w:szCs w:val="22"/>
        </w:rPr>
        <w:t>b</w:t>
      </w:r>
      <w:r w:rsidR="00CE01A8" w:rsidRPr="00CE01A8">
        <w:rPr>
          <w:szCs w:val="22"/>
        </w:rPr>
        <w:t>.</w:t>
      </w:r>
      <w:r w:rsidR="00CE01A8" w:rsidRPr="00CE01A8">
        <w:rPr>
          <w:szCs w:val="22"/>
        </w:rPr>
        <w:tab/>
        <w:t>Liang, D.Y., X. Li, and J.D. Clark, Epigenetic regulation of opioid-induced hyperalgesia, dependence, and tolerance in mice. J Pain, 2013. 14(1): p. 36-47.</w:t>
      </w:r>
    </w:p>
    <w:p w14:paraId="0A1AE82F" w14:textId="77777777" w:rsidR="00CE01A8" w:rsidRPr="00CE01A8" w:rsidRDefault="00B5567C" w:rsidP="00CE01A8">
      <w:pPr>
        <w:pStyle w:val="DataField11pt-Single"/>
        <w:ind w:firstLine="180"/>
        <w:jc w:val="both"/>
        <w:rPr>
          <w:szCs w:val="22"/>
        </w:rPr>
      </w:pPr>
      <w:r>
        <w:rPr>
          <w:szCs w:val="22"/>
        </w:rPr>
        <w:t>c</w:t>
      </w:r>
      <w:r w:rsidR="00CE01A8" w:rsidRPr="00CE01A8">
        <w:rPr>
          <w:szCs w:val="22"/>
        </w:rPr>
        <w:t>.</w:t>
      </w:r>
      <w:r w:rsidR="00CE01A8" w:rsidRPr="00CE01A8">
        <w:rPr>
          <w:szCs w:val="22"/>
        </w:rPr>
        <w:tab/>
      </w:r>
      <w:r w:rsidR="00613C4D">
        <w:rPr>
          <w:szCs w:val="22"/>
        </w:rPr>
        <w:tab/>
      </w:r>
      <w:r w:rsidR="00CE01A8" w:rsidRPr="00CE01A8">
        <w:rPr>
          <w:szCs w:val="22"/>
        </w:rPr>
        <w:t>Liang, D.Y., et al., Epigenetic regulation of spinal cord gene expression controls opioid-induced hyperalgesia. Mol Pain, 2014. 10: p. 59.</w:t>
      </w:r>
    </w:p>
    <w:p w14:paraId="454A159C" w14:textId="77777777" w:rsidR="00CE01A8" w:rsidRPr="00CE01A8" w:rsidRDefault="00B5567C" w:rsidP="00CE01A8">
      <w:pPr>
        <w:pStyle w:val="DataField11pt-Single"/>
        <w:ind w:firstLine="180"/>
        <w:jc w:val="both"/>
        <w:rPr>
          <w:szCs w:val="22"/>
        </w:rPr>
      </w:pPr>
      <w:r>
        <w:rPr>
          <w:szCs w:val="22"/>
        </w:rPr>
        <w:t>d</w:t>
      </w:r>
      <w:r w:rsidR="00CE01A8" w:rsidRPr="00CE01A8">
        <w:rPr>
          <w:szCs w:val="22"/>
        </w:rPr>
        <w:t>.</w:t>
      </w:r>
      <w:r w:rsidR="00CE01A8" w:rsidRPr="00CE01A8">
        <w:rPr>
          <w:szCs w:val="22"/>
        </w:rPr>
        <w:tab/>
        <w:t>Sun, Y., et al., Epigenetic regulation of spinal CXCR2 signaling in incisional hypersensitivity in mice. Anesthesiology, 2013. 119(5): p. 1198-208.</w:t>
      </w:r>
    </w:p>
    <w:p w14:paraId="462BE6E6" w14:textId="77777777" w:rsidR="00757583" w:rsidRPr="00CE01A8" w:rsidRDefault="00757583" w:rsidP="004A046C">
      <w:pPr>
        <w:pStyle w:val="DataField11pt-Single"/>
        <w:ind w:firstLine="180"/>
        <w:jc w:val="both"/>
        <w:rPr>
          <w:szCs w:val="22"/>
        </w:rPr>
      </w:pPr>
    </w:p>
    <w:p w14:paraId="1D45EE9B" w14:textId="77777777" w:rsidR="004D07F9" w:rsidRDefault="004D07F9" w:rsidP="004A046C">
      <w:pPr>
        <w:pStyle w:val="BodyText3"/>
        <w:tabs>
          <w:tab w:val="left" w:pos="450"/>
        </w:tabs>
        <w:spacing w:after="0"/>
        <w:ind w:left="720"/>
        <w:jc w:val="both"/>
        <w:rPr>
          <w:rFonts w:ascii="Arial" w:hAnsi="Arial" w:cs="Arial"/>
          <w:sz w:val="22"/>
          <w:szCs w:val="22"/>
        </w:rPr>
      </w:pPr>
    </w:p>
    <w:p w14:paraId="1EDF7D1D" w14:textId="77777777" w:rsidR="006E140E" w:rsidRDefault="000A7DAD" w:rsidP="00CE01A8">
      <w:pPr>
        <w:pStyle w:val="Subtitle"/>
        <w:spacing w:before="0"/>
        <w:jc w:val="both"/>
        <w:rPr>
          <w:rFonts w:cs="Arial"/>
          <w:szCs w:val="22"/>
        </w:rPr>
      </w:pPr>
      <w:r w:rsidRPr="00280DC2">
        <w:rPr>
          <w:rFonts w:cs="Arial"/>
          <w:szCs w:val="22"/>
        </w:rPr>
        <w:t>D. Research Support</w:t>
      </w:r>
    </w:p>
    <w:p w14:paraId="7ECF7BFA" w14:textId="77777777" w:rsidR="003E0582" w:rsidRPr="003E0582" w:rsidRDefault="003E0582" w:rsidP="003E0582"/>
    <w:p w14:paraId="78D419BB" w14:textId="77777777" w:rsidR="005A4F42" w:rsidRPr="00CE01A8" w:rsidRDefault="005A4F42" w:rsidP="00CE01A8">
      <w:pPr>
        <w:pStyle w:val="Subtitle2"/>
        <w:spacing w:before="0" w:after="120"/>
        <w:jc w:val="both"/>
        <w:rPr>
          <w:rFonts w:cs="Arial"/>
          <w:color w:val="000000"/>
          <w:szCs w:val="22"/>
        </w:rPr>
      </w:pPr>
      <w:r w:rsidRPr="00280DC2">
        <w:rPr>
          <w:rFonts w:cs="Arial"/>
          <w:szCs w:val="22"/>
        </w:rPr>
        <w:t xml:space="preserve">Ongoing </w:t>
      </w:r>
    </w:p>
    <w:p w14:paraId="7BEC1B22" w14:textId="77777777" w:rsidR="001B120D" w:rsidRPr="001B120D" w:rsidRDefault="001B120D" w:rsidP="001B120D">
      <w:pPr>
        <w:autoSpaceDE/>
        <w:autoSpaceDN/>
        <w:rPr>
          <w:rFonts w:ascii="Arial" w:hAnsi="Arial" w:cs="Arial"/>
          <w:color w:val="000000"/>
          <w:spacing w:val="-4"/>
          <w:sz w:val="22"/>
          <w:szCs w:val="22"/>
        </w:rPr>
      </w:pPr>
      <w:r w:rsidRPr="001B120D">
        <w:rPr>
          <w:rFonts w:ascii="Arial" w:hAnsi="Arial" w:cs="Arial"/>
          <w:color w:val="000000"/>
          <w:spacing w:val="-4"/>
          <w:sz w:val="22"/>
          <w:szCs w:val="22"/>
        </w:rPr>
        <w:t>MR</w:t>
      </w:r>
      <w:r>
        <w:rPr>
          <w:rFonts w:ascii="Arial" w:hAnsi="Arial" w:cs="Arial"/>
          <w:color w:val="000000"/>
          <w:spacing w:val="-4"/>
          <w:sz w:val="22"/>
          <w:szCs w:val="22"/>
        </w:rPr>
        <w:t>13</w:t>
      </w:r>
      <w:r w:rsidR="0042247A">
        <w:rPr>
          <w:rFonts w:ascii="Arial" w:hAnsi="Arial" w:cs="Arial"/>
          <w:color w:val="000000"/>
          <w:spacing w:val="-4"/>
          <w:sz w:val="22"/>
          <w:szCs w:val="22"/>
        </w:rPr>
        <w:t>0295</w:t>
      </w:r>
      <w:r w:rsidR="0042247A">
        <w:rPr>
          <w:rFonts w:ascii="Arial" w:hAnsi="Arial" w:cs="Arial"/>
          <w:color w:val="000000"/>
          <w:spacing w:val="-4"/>
          <w:sz w:val="22"/>
          <w:szCs w:val="22"/>
        </w:rPr>
        <w:tab/>
      </w:r>
      <w:r w:rsidR="0042247A">
        <w:rPr>
          <w:rFonts w:ascii="Arial" w:hAnsi="Arial" w:cs="Arial"/>
          <w:color w:val="000000"/>
          <w:spacing w:val="-4"/>
          <w:sz w:val="22"/>
          <w:szCs w:val="22"/>
        </w:rPr>
        <w:tab/>
      </w:r>
      <w:r w:rsidR="0042247A">
        <w:rPr>
          <w:rFonts w:ascii="Arial" w:hAnsi="Arial" w:cs="Arial"/>
          <w:color w:val="000000"/>
          <w:spacing w:val="-4"/>
          <w:sz w:val="22"/>
          <w:szCs w:val="22"/>
        </w:rPr>
        <w:tab/>
        <w:t xml:space="preserve">         </w:t>
      </w:r>
      <w:r w:rsidR="0042247A">
        <w:rPr>
          <w:rFonts w:ascii="Arial" w:hAnsi="Arial" w:cs="Arial"/>
          <w:color w:val="000000"/>
          <w:spacing w:val="-4"/>
          <w:sz w:val="22"/>
          <w:szCs w:val="22"/>
        </w:rPr>
        <w:tab/>
        <w:t xml:space="preserve">         </w:t>
      </w:r>
      <w:r w:rsidR="0042247A">
        <w:rPr>
          <w:rFonts w:ascii="Arial" w:hAnsi="Arial" w:cs="Arial"/>
          <w:color w:val="000000"/>
          <w:spacing w:val="-4"/>
          <w:sz w:val="22"/>
          <w:szCs w:val="22"/>
        </w:rPr>
        <w:tab/>
      </w:r>
      <w:r w:rsidR="0042247A">
        <w:rPr>
          <w:rFonts w:ascii="Arial" w:hAnsi="Arial" w:cs="Arial"/>
          <w:color w:val="000000"/>
          <w:spacing w:val="-4"/>
          <w:sz w:val="22"/>
          <w:szCs w:val="22"/>
        </w:rPr>
        <w:tab/>
      </w:r>
      <w:r w:rsidR="0042247A">
        <w:rPr>
          <w:rFonts w:ascii="Arial" w:hAnsi="Arial" w:cs="Arial"/>
          <w:color w:val="000000"/>
          <w:spacing w:val="-4"/>
          <w:sz w:val="22"/>
          <w:szCs w:val="22"/>
        </w:rPr>
        <w:tab/>
      </w:r>
      <w:r w:rsidR="0042247A">
        <w:rPr>
          <w:rFonts w:ascii="Arial" w:hAnsi="Arial" w:cs="Arial"/>
          <w:color w:val="000000"/>
          <w:spacing w:val="-4"/>
          <w:sz w:val="22"/>
          <w:szCs w:val="22"/>
        </w:rPr>
        <w:tab/>
      </w:r>
      <w:r w:rsidR="0042247A">
        <w:rPr>
          <w:rFonts w:ascii="Arial" w:hAnsi="Arial" w:cs="Arial"/>
          <w:color w:val="000000"/>
          <w:spacing w:val="-4"/>
          <w:sz w:val="22"/>
          <w:szCs w:val="22"/>
        </w:rPr>
        <w:tab/>
      </w:r>
      <w:r>
        <w:rPr>
          <w:rFonts w:ascii="Arial" w:hAnsi="Arial" w:cs="Arial"/>
          <w:color w:val="000000"/>
          <w:spacing w:val="-4"/>
          <w:sz w:val="22"/>
          <w:szCs w:val="22"/>
        </w:rPr>
        <w:t>Clark</w:t>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sidR="0042247A">
        <w:rPr>
          <w:rFonts w:ascii="Arial" w:hAnsi="Arial" w:cs="Arial"/>
          <w:color w:val="000000"/>
          <w:spacing w:val="-4"/>
          <w:sz w:val="22"/>
          <w:szCs w:val="22"/>
        </w:rPr>
        <w:tab/>
      </w:r>
      <w:r>
        <w:rPr>
          <w:rFonts w:ascii="Arial" w:hAnsi="Arial" w:cs="Arial"/>
          <w:color w:val="000000"/>
          <w:spacing w:val="-4"/>
          <w:sz w:val="22"/>
          <w:szCs w:val="22"/>
        </w:rPr>
        <w:t>10</w:t>
      </w:r>
      <w:r w:rsidRPr="001B120D">
        <w:rPr>
          <w:rFonts w:ascii="Arial" w:hAnsi="Arial" w:cs="Arial"/>
          <w:color w:val="000000"/>
          <w:spacing w:val="-4"/>
          <w:sz w:val="22"/>
          <w:szCs w:val="22"/>
        </w:rPr>
        <w:t>/</w:t>
      </w:r>
      <w:r w:rsidR="003E0582">
        <w:rPr>
          <w:rFonts w:ascii="Arial" w:hAnsi="Arial" w:cs="Arial"/>
          <w:color w:val="000000"/>
          <w:spacing w:val="-4"/>
          <w:sz w:val="22"/>
          <w:szCs w:val="22"/>
        </w:rPr>
        <w:t>1/</w:t>
      </w:r>
      <w:r w:rsidRPr="001B120D">
        <w:rPr>
          <w:rFonts w:ascii="Arial" w:hAnsi="Arial" w:cs="Arial"/>
          <w:color w:val="000000"/>
          <w:spacing w:val="-4"/>
          <w:sz w:val="22"/>
          <w:szCs w:val="22"/>
        </w:rPr>
        <w:t>14</w:t>
      </w:r>
      <w:r>
        <w:rPr>
          <w:rFonts w:ascii="Arial" w:hAnsi="Arial" w:cs="Arial"/>
          <w:color w:val="000000"/>
          <w:spacing w:val="-4"/>
          <w:sz w:val="22"/>
          <w:szCs w:val="22"/>
        </w:rPr>
        <w:t>-9/</w:t>
      </w:r>
      <w:r w:rsidR="003E0582">
        <w:rPr>
          <w:rFonts w:ascii="Arial" w:hAnsi="Arial" w:cs="Arial"/>
          <w:color w:val="000000"/>
          <w:spacing w:val="-4"/>
          <w:sz w:val="22"/>
          <w:szCs w:val="22"/>
        </w:rPr>
        <w:t>30/</w:t>
      </w:r>
      <w:r>
        <w:rPr>
          <w:rFonts w:ascii="Arial" w:hAnsi="Arial" w:cs="Arial"/>
          <w:color w:val="000000"/>
          <w:spacing w:val="-4"/>
          <w:sz w:val="22"/>
          <w:szCs w:val="22"/>
        </w:rPr>
        <w:t>17</w:t>
      </w:r>
    </w:p>
    <w:p w14:paraId="2BD9DF77" w14:textId="77777777" w:rsidR="001B120D" w:rsidRPr="001B120D" w:rsidRDefault="001B120D" w:rsidP="001B120D">
      <w:pPr>
        <w:autoSpaceDE/>
        <w:autoSpaceDN/>
        <w:rPr>
          <w:rFonts w:ascii="Arial" w:hAnsi="Arial" w:cs="Arial"/>
          <w:color w:val="000000"/>
          <w:spacing w:val="-4"/>
          <w:sz w:val="22"/>
          <w:szCs w:val="22"/>
        </w:rPr>
      </w:pPr>
      <w:r w:rsidRPr="001B120D">
        <w:rPr>
          <w:rFonts w:ascii="Arial" w:hAnsi="Arial" w:cs="Arial"/>
          <w:color w:val="000000"/>
          <w:spacing w:val="-4"/>
          <w:sz w:val="22"/>
          <w:szCs w:val="22"/>
        </w:rPr>
        <w:t>D</w:t>
      </w:r>
      <w:r>
        <w:rPr>
          <w:rFonts w:ascii="Arial" w:hAnsi="Arial" w:cs="Arial"/>
          <w:color w:val="000000"/>
          <w:spacing w:val="-4"/>
          <w:sz w:val="22"/>
          <w:szCs w:val="22"/>
        </w:rPr>
        <w:t>oD/CDMRP</w:t>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t xml:space="preserve">        </w:t>
      </w:r>
    </w:p>
    <w:p w14:paraId="605E924C" w14:textId="77777777" w:rsidR="001B120D" w:rsidRDefault="001B120D" w:rsidP="001B120D">
      <w:pPr>
        <w:autoSpaceDE/>
        <w:autoSpaceDN/>
        <w:rPr>
          <w:rFonts w:ascii="Arial" w:hAnsi="Arial" w:cs="Arial"/>
          <w:color w:val="000000"/>
          <w:spacing w:val="-4"/>
          <w:sz w:val="22"/>
          <w:szCs w:val="22"/>
        </w:rPr>
      </w:pPr>
      <w:r w:rsidRPr="001B120D">
        <w:rPr>
          <w:rFonts w:ascii="Arial" w:hAnsi="Arial" w:cs="Arial"/>
          <w:i/>
          <w:color w:val="000000"/>
          <w:spacing w:val="-4"/>
          <w:sz w:val="22"/>
          <w:szCs w:val="22"/>
        </w:rPr>
        <w:t>Targeting Epigenetic Mechanisms in Pain due to Trauma and TBI</w:t>
      </w:r>
    </w:p>
    <w:p w14:paraId="271F650C" w14:textId="77777777" w:rsidR="001B120D" w:rsidRPr="001B120D" w:rsidRDefault="001B120D" w:rsidP="001B120D">
      <w:pPr>
        <w:autoSpaceDE/>
        <w:autoSpaceDN/>
        <w:rPr>
          <w:rFonts w:ascii="Arial" w:hAnsi="Arial" w:cs="Arial"/>
          <w:color w:val="000000"/>
          <w:spacing w:val="-4"/>
          <w:sz w:val="22"/>
          <w:szCs w:val="22"/>
        </w:rPr>
      </w:pPr>
      <w:r>
        <w:rPr>
          <w:rFonts w:ascii="Arial" w:hAnsi="Arial" w:cs="Arial"/>
          <w:color w:val="000000"/>
          <w:spacing w:val="-4"/>
          <w:sz w:val="22"/>
          <w:szCs w:val="22"/>
        </w:rPr>
        <w:lastRenderedPageBreak/>
        <w:t>Goal</w:t>
      </w:r>
      <w:r w:rsidR="002F39BD">
        <w:rPr>
          <w:rFonts w:ascii="Arial" w:hAnsi="Arial" w:cs="Arial"/>
          <w:color w:val="000000"/>
          <w:spacing w:val="-4"/>
          <w:sz w:val="22"/>
          <w:szCs w:val="22"/>
        </w:rPr>
        <w:t>s</w:t>
      </w:r>
      <w:r>
        <w:rPr>
          <w:rFonts w:ascii="Arial" w:hAnsi="Arial" w:cs="Arial"/>
          <w:color w:val="000000"/>
          <w:spacing w:val="-4"/>
          <w:sz w:val="22"/>
          <w:szCs w:val="22"/>
        </w:rPr>
        <w:t>: This set of studies focuses on chemokine signaling as a set of mechanisms related to sustained pain after traumatic brain injury.</w:t>
      </w:r>
    </w:p>
    <w:p w14:paraId="7A74455D" w14:textId="77777777" w:rsidR="001B120D" w:rsidRDefault="001B120D" w:rsidP="005A4F42">
      <w:pPr>
        <w:pStyle w:val="BodyTextIndent"/>
        <w:tabs>
          <w:tab w:val="left" w:pos="5040"/>
          <w:tab w:val="left" w:pos="8640"/>
          <w:tab w:val="right" w:pos="10530"/>
        </w:tabs>
        <w:ind w:left="0"/>
        <w:rPr>
          <w:color w:val="000000"/>
          <w:sz w:val="22"/>
          <w:szCs w:val="22"/>
        </w:rPr>
      </w:pPr>
    </w:p>
    <w:p w14:paraId="5995EFFA" w14:textId="77777777" w:rsidR="005A4F42" w:rsidRDefault="005A4F42" w:rsidP="005A4F42">
      <w:pPr>
        <w:pStyle w:val="BodyTextIndent"/>
        <w:tabs>
          <w:tab w:val="left" w:pos="5040"/>
          <w:tab w:val="left" w:pos="8640"/>
          <w:tab w:val="right" w:pos="10530"/>
        </w:tabs>
        <w:ind w:left="0"/>
        <w:rPr>
          <w:color w:val="auto"/>
          <w:sz w:val="22"/>
          <w:szCs w:val="22"/>
        </w:rPr>
      </w:pPr>
      <w:r w:rsidRPr="00280DC2">
        <w:rPr>
          <w:color w:val="000000"/>
          <w:sz w:val="22"/>
          <w:szCs w:val="22"/>
        </w:rPr>
        <w:t xml:space="preserve">R01 NS072143 </w:t>
      </w:r>
      <w:r w:rsidR="0042247A">
        <w:rPr>
          <w:color w:val="000000"/>
          <w:sz w:val="22"/>
          <w:szCs w:val="22"/>
        </w:rPr>
        <w:t xml:space="preserve">                                                   </w:t>
      </w:r>
      <w:r w:rsidRPr="00280DC2">
        <w:rPr>
          <w:color w:val="000000"/>
          <w:sz w:val="22"/>
          <w:szCs w:val="22"/>
        </w:rPr>
        <w:t xml:space="preserve">Clark, Kingery </w:t>
      </w:r>
      <w:r>
        <w:rPr>
          <w:color w:val="000000"/>
          <w:sz w:val="22"/>
          <w:szCs w:val="22"/>
        </w:rPr>
        <w:tab/>
      </w:r>
      <w:r w:rsidRPr="00280DC2">
        <w:rPr>
          <w:color w:val="auto"/>
          <w:sz w:val="22"/>
          <w:szCs w:val="22"/>
        </w:rPr>
        <w:t>8/</w:t>
      </w:r>
      <w:r>
        <w:rPr>
          <w:color w:val="auto"/>
          <w:sz w:val="22"/>
          <w:szCs w:val="22"/>
        </w:rPr>
        <w:t>1/</w:t>
      </w:r>
      <w:r w:rsidRPr="00280DC2">
        <w:rPr>
          <w:color w:val="auto"/>
          <w:sz w:val="22"/>
          <w:szCs w:val="22"/>
        </w:rPr>
        <w:t>11-7/</w:t>
      </w:r>
      <w:r>
        <w:rPr>
          <w:color w:val="auto"/>
          <w:sz w:val="22"/>
          <w:szCs w:val="22"/>
        </w:rPr>
        <w:t>31/</w:t>
      </w:r>
      <w:r w:rsidRPr="00280DC2">
        <w:rPr>
          <w:color w:val="auto"/>
          <w:sz w:val="22"/>
          <w:szCs w:val="22"/>
        </w:rPr>
        <w:t xml:space="preserve">16           </w:t>
      </w:r>
    </w:p>
    <w:p w14:paraId="682438F0" w14:textId="77777777" w:rsidR="005A4F42" w:rsidRPr="00280DC2" w:rsidRDefault="005A4F42" w:rsidP="005A4F42">
      <w:pPr>
        <w:pStyle w:val="BodyTextIndent"/>
        <w:tabs>
          <w:tab w:val="right" w:pos="10530"/>
        </w:tabs>
        <w:ind w:left="0"/>
        <w:rPr>
          <w:color w:val="0000FF"/>
          <w:sz w:val="22"/>
          <w:szCs w:val="22"/>
        </w:rPr>
      </w:pPr>
      <w:r w:rsidRPr="00280DC2">
        <w:rPr>
          <w:color w:val="000000"/>
          <w:spacing w:val="-4"/>
          <w:sz w:val="22"/>
          <w:szCs w:val="22"/>
        </w:rPr>
        <w:t xml:space="preserve">NIH/NINDS                                                      </w:t>
      </w:r>
    </w:p>
    <w:p w14:paraId="50A93756" w14:textId="77777777" w:rsidR="005A4F42" w:rsidRDefault="005A4F42" w:rsidP="005A4F42">
      <w:pPr>
        <w:pStyle w:val="BodyTextIndent"/>
        <w:tabs>
          <w:tab w:val="right" w:pos="10530"/>
        </w:tabs>
        <w:ind w:left="0"/>
        <w:rPr>
          <w:i/>
          <w:color w:val="0000FF"/>
          <w:sz w:val="22"/>
          <w:szCs w:val="22"/>
        </w:rPr>
      </w:pPr>
      <w:r w:rsidRPr="00280DC2">
        <w:rPr>
          <w:i/>
          <w:color w:val="000000"/>
          <w:sz w:val="22"/>
          <w:szCs w:val="22"/>
        </w:rPr>
        <w:t>Inflammasome Activation in Complex Regional Pain Syndrome</w:t>
      </w:r>
    </w:p>
    <w:p w14:paraId="06BCCA84" w14:textId="77777777" w:rsidR="005A4F42" w:rsidRDefault="005A4F42" w:rsidP="005A4F42">
      <w:pPr>
        <w:jc w:val="both"/>
        <w:rPr>
          <w:rFonts w:ascii="Arial" w:hAnsi="Arial" w:cs="Arial"/>
          <w:color w:val="000000"/>
          <w:spacing w:val="-4"/>
          <w:sz w:val="22"/>
          <w:szCs w:val="22"/>
        </w:rPr>
      </w:pPr>
      <w:r w:rsidRPr="00280DC2">
        <w:rPr>
          <w:rFonts w:ascii="Arial" w:hAnsi="Arial" w:cs="Arial"/>
          <w:sz w:val="22"/>
          <w:szCs w:val="22"/>
        </w:rPr>
        <w:t>Goal</w:t>
      </w:r>
      <w:r w:rsidR="002F39BD">
        <w:rPr>
          <w:rFonts w:ascii="Arial" w:hAnsi="Arial" w:cs="Arial"/>
          <w:sz w:val="22"/>
          <w:szCs w:val="22"/>
        </w:rPr>
        <w:t>s</w:t>
      </w:r>
      <w:r w:rsidRPr="00280DC2">
        <w:rPr>
          <w:rFonts w:ascii="Arial" w:hAnsi="Arial" w:cs="Arial"/>
          <w:sz w:val="22"/>
          <w:szCs w:val="22"/>
        </w:rPr>
        <w:t xml:space="preserve">: </w:t>
      </w:r>
      <w:r w:rsidRPr="00280DC2">
        <w:rPr>
          <w:rFonts w:ascii="Arial" w:hAnsi="Arial" w:cs="Arial"/>
          <w:spacing w:val="-4"/>
          <w:sz w:val="22"/>
          <w:szCs w:val="22"/>
        </w:rPr>
        <w:t>This study</w:t>
      </w:r>
      <w:r w:rsidRPr="00280DC2">
        <w:rPr>
          <w:rFonts w:ascii="Arial" w:hAnsi="Arial" w:cs="Arial"/>
          <w:color w:val="000000"/>
          <w:spacing w:val="-4"/>
          <w:sz w:val="22"/>
          <w:szCs w:val="22"/>
        </w:rPr>
        <w:t xml:space="preserve"> uses mice and cell culture systems to examine the roles for inflammasomes in generating cytokines relevant to CRPS. </w:t>
      </w:r>
      <w:r>
        <w:rPr>
          <w:rFonts w:ascii="Arial" w:hAnsi="Arial" w:cs="Arial"/>
          <w:color w:val="000000"/>
          <w:spacing w:val="-4"/>
          <w:sz w:val="22"/>
          <w:szCs w:val="22"/>
        </w:rPr>
        <w:t xml:space="preserve"> </w:t>
      </w:r>
      <w:r w:rsidRPr="00280DC2">
        <w:rPr>
          <w:rFonts w:ascii="Arial" w:hAnsi="Arial" w:cs="Arial"/>
          <w:color w:val="000000"/>
          <w:spacing w:val="-4"/>
          <w:sz w:val="22"/>
          <w:szCs w:val="22"/>
        </w:rPr>
        <w:t>There is no scientific or budgetary overlap between this and the project proposed.</w:t>
      </w:r>
    </w:p>
    <w:p w14:paraId="13B1EF7D" w14:textId="77777777" w:rsidR="00404FE1" w:rsidRDefault="00404FE1" w:rsidP="005A4F42">
      <w:pPr>
        <w:jc w:val="both"/>
        <w:rPr>
          <w:rFonts w:ascii="Arial" w:hAnsi="Arial" w:cs="Arial"/>
          <w:color w:val="000000"/>
          <w:spacing w:val="-4"/>
          <w:sz w:val="22"/>
          <w:szCs w:val="22"/>
        </w:rPr>
      </w:pPr>
    </w:p>
    <w:p w14:paraId="2C3D5777" w14:textId="77777777" w:rsidR="00404FE1" w:rsidRPr="00404FE1" w:rsidRDefault="00CF3C8E" w:rsidP="00404FE1">
      <w:pPr>
        <w:jc w:val="both"/>
        <w:rPr>
          <w:rFonts w:ascii="Arial" w:hAnsi="Arial" w:cs="Arial"/>
          <w:color w:val="000000"/>
          <w:spacing w:val="-4"/>
          <w:sz w:val="22"/>
          <w:szCs w:val="22"/>
        </w:rPr>
      </w:pPr>
      <w:r>
        <w:rPr>
          <w:rFonts w:ascii="Arial" w:hAnsi="Arial" w:cs="Arial"/>
          <w:color w:val="000000"/>
          <w:spacing w:val="-4"/>
          <w:sz w:val="22"/>
          <w:szCs w:val="22"/>
        </w:rPr>
        <w:t>2I01BX000881</w:t>
      </w:r>
      <w:r w:rsidR="00404FE1" w:rsidRPr="00404FE1">
        <w:rPr>
          <w:rFonts w:ascii="Arial" w:hAnsi="Arial" w:cs="Arial"/>
          <w:color w:val="000000"/>
          <w:spacing w:val="-4"/>
          <w:sz w:val="22"/>
          <w:szCs w:val="22"/>
        </w:rPr>
        <w:tab/>
        <w:t xml:space="preserve">                         </w:t>
      </w:r>
      <w:r w:rsidR="00404FE1">
        <w:rPr>
          <w:rFonts w:ascii="Arial" w:hAnsi="Arial" w:cs="Arial"/>
          <w:color w:val="000000"/>
          <w:spacing w:val="-4"/>
          <w:sz w:val="22"/>
          <w:szCs w:val="22"/>
        </w:rPr>
        <w:t xml:space="preserve">         </w:t>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2247A">
        <w:rPr>
          <w:rFonts w:ascii="Arial" w:hAnsi="Arial" w:cs="Arial"/>
          <w:color w:val="000000"/>
          <w:spacing w:val="-4"/>
          <w:sz w:val="22"/>
          <w:szCs w:val="22"/>
        </w:rPr>
        <w:tab/>
      </w:r>
      <w:r w:rsidR="00404FE1">
        <w:rPr>
          <w:rFonts w:ascii="Arial" w:hAnsi="Arial" w:cs="Arial"/>
          <w:color w:val="000000"/>
          <w:spacing w:val="-4"/>
          <w:sz w:val="22"/>
          <w:szCs w:val="22"/>
        </w:rPr>
        <w:t>Clark</w:t>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42247A">
        <w:rPr>
          <w:rFonts w:ascii="Arial" w:hAnsi="Arial" w:cs="Arial"/>
          <w:color w:val="000000"/>
          <w:spacing w:val="-4"/>
          <w:sz w:val="22"/>
          <w:szCs w:val="22"/>
        </w:rPr>
        <w:tab/>
      </w:r>
      <w:r w:rsidR="008266F5">
        <w:rPr>
          <w:rFonts w:ascii="Arial" w:hAnsi="Arial" w:cs="Arial"/>
          <w:color w:val="000000"/>
          <w:spacing w:val="-4"/>
          <w:sz w:val="22"/>
          <w:szCs w:val="22"/>
        </w:rPr>
        <w:t>4</w:t>
      </w:r>
      <w:r w:rsidR="00582CDF">
        <w:rPr>
          <w:rFonts w:ascii="Arial" w:hAnsi="Arial" w:cs="Arial"/>
          <w:color w:val="000000"/>
          <w:spacing w:val="-4"/>
          <w:sz w:val="22"/>
          <w:szCs w:val="22"/>
        </w:rPr>
        <w:t>/1/</w:t>
      </w:r>
      <w:r w:rsidR="008266F5">
        <w:rPr>
          <w:rFonts w:ascii="Arial" w:hAnsi="Arial" w:cs="Arial"/>
          <w:color w:val="000000"/>
          <w:spacing w:val="-4"/>
          <w:sz w:val="22"/>
          <w:szCs w:val="22"/>
        </w:rPr>
        <w:t>16-3</w:t>
      </w:r>
      <w:r w:rsidR="00404FE1">
        <w:rPr>
          <w:rFonts w:ascii="Arial" w:hAnsi="Arial" w:cs="Arial"/>
          <w:color w:val="000000"/>
          <w:spacing w:val="-4"/>
          <w:sz w:val="22"/>
          <w:szCs w:val="22"/>
        </w:rPr>
        <w:t>/31/20</w:t>
      </w:r>
    </w:p>
    <w:p w14:paraId="48514DE4" w14:textId="77777777" w:rsidR="00404FE1" w:rsidRDefault="00404FE1" w:rsidP="00404FE1">
      <w:pPr>
        <w:jc w:val="both"/>
        <w:rPr>
          <w:rFonts w:ascii="Arial" w:hAnsi="Arial" w:cs="Arial"/>
          <w:color w:val="000000"/>
          <w:spacing w:val="-4"/>
          <w:sz w:val="22"/>
          <w:szCs w:val="22"/>
        </w:rPr>
      </w:pPr>
      <w:r w:rsidRPr="00404FE1">
        <w:rPr>
          <w:rFonts w:ascii="Arial" w:hAnsi="Arial" w:cs="Arial"/>
          <w:color w:val="000000"/>
          <w:spacing w:val="-4"/>
          <w:sz w:val="22"/>
          <w:szCs w:val="22"/>
        </w:rPr>
        <w:t xml:space="preserve">VA-BLR&amp;D                                                     </w:t>
      </w:r>
    </w:p>
    <w:p w14:paraId="7225FF9D" w14:textId="77777777" w:rsidR="00404FE1" w:rsidRPr="00404FE1" w:rsidRDefault="00404FE1" w:rsidP="00404FE1">
      <w:pPr>
        <w:jc w:val="both"/>
        <w:rPr>
          <w:rFonts w:ascii="Arial" w:hAnsi="Arial" w:cs="Arial"/>
          <w:i/>
          <w:color w:val="000000"/>
          <w:spacing w:val="-4"/>
          <w:sz w:val="22"/>
          <w:szCs w:val="22"/>
        </w:rPr>
      </w:pPr>
      <w:r w:rsidRPr="00404FE1">
        <w:rPr>
          <w:rFonts w:ascii="Arial" w:hAnsi="Arial" w:cs="Arial"/>
          <w:i/>
          <w:color w:val="000000"/>
          <w:spacing w:val="-4"/>
          <w:sz w:val="22"/>
          <w:szCs w:val="22"/>
        </w:rPr>
        <w:t>Epigenetic Modulation of Pain X Opioid Interactions</w:t>
      </w:r>
    </w:p>
    <w:p w14:paraId="36CC176E" w14:textId="77777777" w:rsidR="00404FE1" w:rsidRPr="00404FE1" w:rsidRDefault="002F39BD" w:rsidP="00404FE1">
      <w:pPr>
        <w:jc w:val="both"/>
        <w:rPr>
          <w:rFonts w:ascii="Arial" w:hAnsi="Arial" w:cs="Arial"/>
          <w:color w:val="000000"/>
          <w:spacing w:val="-4"/>
          <w:sz w:val="22"/>
          <w:szCs w:val="22"/>
        </w:rPr>
      </w:pPr>
      <w:r>
        <w:rPr>
          <w:rFonts w:ascii="Arial" w:hAnsi="Arial" w:cs="Arial"/>
          <w:color w:val="000000"/>
          <w:spacing w:val="-4"/>
          <w:sz w:val="22"/>
          <w:szCs w:val="22"/>
        </w:rPr>
        <w:t>Goals</w:t>
      </w:r>
      <w:r w:rsidR="00404FE1" w:rsidRPr="00404FE1">
        <w:rPr>
          <w:rFonts w:ascii="Arial" w:hAnsi="Arial" w:cs="Arial"/>
          <w:color w:val="000000"/>
          <w:spacing w:val="-4"/>
          <w:sz w:val="22"/>
          <w:szCs w:val="22"/>
        </w:rPr>
        <w:t>: This group of studies examines the role of epigenetic factors in controlling adaptations during opioid administration such as tolerance, dependence, and addiction-related changes. This study uses mice as the primary model system. There is no scientific or budgetary overlap with the current application.</w:t>
      </w:r>
    </w:p>
    <w:p w14:paraId="4EABB84B" w14:textId="77777777" w:rsidR="00404FE1" w:rsidRDefault="00404FE1" w:rsidP="00404FE1">
      <w:pPr>
        <w:jc w:val="both"/>
        <w:rPr>
          <w:rFonts w:ascii="Arial" w:hAnsi="Arial" w:cs="Arial"/>
          <w:color w:val="000000"/>
          <w:spacing w:val="-4"/>
          <w:sz w:val="22"/>
          <w:szCs w:val="22"/>
        </w:rPr>
      </w:pPr>
    </w:p>
    <w:p w14:paraId="2CC9ED37" w14:textId="77777777" w:rsidR="00404FE1" w:rsidRPr="00404FE1" w:rsidRDefault="006D7EEC" w:rsidP="00404FE1">
      <w:pPr>
        <w:jc w:val="both"/>
        <w:rPr>
          <w:rFonts w:ascii="Arial" w:hAnsi="Arial" w:cs="Arial"/>
          <w:color w:val="000000"/>
          <w:spacing w:val="-4"/>
          <w:sz w:val="22"/>
          <w:szCs w:val="22"/>
        </w:rPr>
      </w:pPr>
      <w:r w:rsidRPr="006D7EEC">
        <w:rPr>
          <w:rFonts w:ascii="Arial" w:hAnsi="Arial" w:cs="Arial"/>
          <w:color w:val="000000"/>
          <w:spacing w:val="-4"/>
          <w:sz w:val="22"/>
          <w:szCs w:val="22"/>
        </w:rPr>
        <w:t>I01RX001475</w:t>
      </w:r>
      <w:r w:rsidR="00404FE1">
        <w:rPr>
          <w:rFonts w:ascii="Arial" w:hAnsi="Arial" w:cs="Arial"/>
          <w:color w:val="000000"/>
          <w:spacing w:val="-4"/>
          <w:sz w:val="22"/>
          <w:szCs w:val="22"/>
        </w:rPr>
        <w:tab/>
        <w:t xml:space="preserve">         </w:t>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t>Clark</w:t>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404FE1">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2F39BD">
        <w:rPr>
          <w:rFonts w:ascii="Arial" w:hAnsi="Arial" w:cs="Arial"/>
          <w:color w:val="000000"/>
          <w:spacing w:val="-4"/>
          <w:sz w:val="22"/>
          <w:szCs w:val="22"/>
        </w:rPr>
        <w:tab/>
      </w:r>
      <w:r w:rsidR="00CF3C8E">
        <w:rPr>
          <w:rFonts w:ascii="Arial" w:hAnsi="Arial" w:cs="Arial"/>
          <w:color w:val="000000"/>
          <w:spacing w:val="-4"/>
          <w:sz w:val="22"/>
          <w:szCs w:val="22"/>
        </w:rPr>
        <w:tab/>
      </w:r>
      <w:r w:rsidR="002F39BD">
        <w:rPr>
          <w:rFonts w:ascii="Arial" w:hAnsi="Arial" w:cs="Arial"/>
          <w:color w:val="000000"/>
          <w:spacing w:val="-4"/>
          <w:sz w:val="22"/>
          <w:szCs w:val="22"/>
        </w:rPr>
        <w:t>8/1/15-</w:t>
      </w:r>
      <w:r w:rsidR="00404FE1">
        <w:rPr>
          <w:rFonts w:ascii="Arial" w:hAnsi="Arial" w:cs="Arial"/>
          <w:color w:val="000000"/>
          <w:spacing w:val="-4"/>
          <w:sz w:val="22"/>
          <w:szCs w:val="22"/>
        </w:rPr>
        <w:t>7/31/</w:t>
      </w:r>
      <w:r w:rsidR="00404FE1" w:rsidRPr="00404FE1">
        <w:rPr>
          <w:rFonts w:ascii="Arial" w:hAnsi="Arial" w:cs="Arial"/>
          <w:color w:val="000000"/>
          <w:spacing w:val="-4"/>
          <w:sz w:val="22"/>
          <w:szCs w:val="22"/>
        </w:rPr>
        <w:t xml:space="preserve">19 </w:t>
      </w:r>
      <w:r w:rsidR="00404FE1" w:rsidRPr="00404FE1">
        <w:rPr>
          <w:rFonts w:ascii="Arial" w:hAnsi="Arial" w:cs="Arial"/>
          <w:color w:val="000000"/>
          <w:spacing w:val="-4"/>
          <w:sz w:val="22"/>
          <w:szCs w:val="22"/>
        </w:rPr>
        <w:tab/>
      </w:r>
    </w:p>
    <w:p w14:paraId="599E13E5" w14:textId="77777777" w:rsidR="00404FE1" w:rsidRPr="00404FE1" w:rsidRDefault="006D7EEC" w:rsidP="00404FE1">
      <w:pPr>
        <w:jc w:val="both"/>
        <w:rPr>
          <w:rFonts w:ascii="Arial" w:hAnsi="Arial" w:cs="Arial"/>
          <w:color w:val="000000"/>
          <w:spacing w:val="-4"/>
          <w:sz w:val="22"/>
          <w:szCs w:val="22"/>
        </w:rPr>
      </w:pPr>
      <w:r>
        <w:rPr>
          <w:rFonts w:ascii="Arial" w:hAnsi="Arial" w:cs="Arial"/>
          <w:color w:val="000000"/>
          <w:spacing w:val="-4"/>
          <w:sz w:val="22"/>
          <w:szCs w:val="22"/>
        </w:rPr>
        <w:t>VA-R</w:t>
      </w:r>
      <w:r w:rsidR="00404FE1" w:rsidRPr="00404FE1">
        <w:rPr>
          <w:rFonts w:ascii="Arial" w:hAnsi="Arial" w:cs="Arial"/>
          <w:color w:val="000000"/>
          <w:spacing w:val="-4"/>
          <w:sz w:val="22"/>
          <w:szCs w:val="22"/>
        </w:rPr>
        <w:t>R&amp;D</w:t>
      </w:r>
      <w:r w:rsidR="00404FE1" w:rsidRPr="00404FE1">
        <w:rPr>
          <w:rFonts w:ascii="Arial" w:hAnsi="Arial" w:cs="Arial"/>
          <w:color w:val="000000"/>
          <w:spacing w:val="-4"/>
          <w:sz w:val="22"/>
          <w:szCs w:val="22"/>
        </w:rPr>
        <w:tab/>
      </w:r>
    </w:p>
    <w:p w14:paraId="206E2BE2" w14:textId="77777777" w:rsidR="006D7EEC" w:rsidRDefault="006D7EEC" w:rsidP="00404FE1">
      <w:pPr>
        <w:jc w:val="both"/>
        <w:rPr>
          <w:rFonts w:ascii="Arial" w:hAnsi="Arial" w:cs="Arial"/>
          <w:i/>
          <w:color w:val="000000"/>
          <w:spacing w:val="-4"/>
          <w:sz w:val="22"/>
          <w:szCs w:val="22"/>
        </w:rPr>
      </w:pPr>
      <w:r w:rsidRPr="006D7EEC">
        <w:rPr>
          <w:rFonts w:ascii="Arial" w:hAnsi="Arial" w:cs="Arial"/>
          <w:i/>
          <w:color w:val="000000"/>
          <w:spacing w:val="-4"/>
          <w:sz w:val="22"/>
          <w:szCs w:val="22"/>
        </w:rPr>
        <w:t>Autoimmune Mechanisms Supporting Chronic Pain after Limb Injury</w:t>
      </w:r>
      <w:r>
        <w:rPr>
          <w:rFonts w:ascii="Arial" w:hAnsi="Arial" w:cs="Arial"/>
          <w:i/>
          <w:color w:val="000000"/>
          <w:spacing w:val="-4"/>
          <w:sz w:val="22"/>
          <w:szCs w:val="22"/>
        </w:rPr>
        <w:t xml:space="preserve"> </w:t>
      </w:r>
    </w:p>
    <w:p w14:paraId="3D9641F6" w14:textId="77777777" w:rsidR="00404FE1" w:rsidRDefault="00404FE1" w:rsidP="00404FE1">
      <w:pPr>
        <w:jc w:val="both"/>
        <w:rPr>
          <w:rFonts w:ascii="Arial" w:hAnsi="Arial" w:cs="Arial"/>
          <w:color w:val="000000"/>
          <w:spacing w:val="-4"/>
          <w:sz w:val="22"/>
          <w:szCs w:val="22"/>
        </w:rPr>
      </w:pPr>
      <w:r w:rsidRPr="00404FE1">
        <w:rPr>
          <w:rFonts w:ascii="Arial" w:hAnsi="Arial" w:cs="Arial"/>
          <w:color w:val="000000"/>
          <w:spacing w:val="-4"/>
          <w:sz w:val="22"/>
          <w:szCs w:val="22"/>
        </w:rPr>
        <w:t>Goals: This project seeks to: 1) demonstrate that components of serum can exacerbate pain and vascular changes after hind limb injury to mice 2) that IVIG and rituximab can reverse CRPS-like symptoms in fracture mice, 3) characterize the comparative  time courses of adaptive and innate immune activation in relation to post-fracture CRPS-like symptoms in the mouse, 4) examine the effects of immobilization, early post-fracture remobilization, and exercise on these immune responses, and 5) characterize how immune system activation leads to the production of additional mediators such as cytokines and mast cell infiltration.</w:t>
      </w:r>
    </w:p>
    <w:p w14:paraId="486D516F" w14:textId="77777777" w:rsidR="003E0582" w:rsidRDefault="003E0582" w:rsidP="00404FE1">
      <w:pPr>
        <w:jc w:val="both"/>
        <w:rPr>
          <w:rFonts w:ascii="Arial" w:hAnsi="Arial" w:cs="Arial"/>
          <w:color w:val="000000"/>
          <w:spacing w:val="-4"/>
          <w:sz w:val="22"/>
          <w:szCs w:val="22"/>
        </w:rPr>
      </w:pPr>
    </w:p>
    <w:p w14:paraId="24D9EBB6" w14:textId="77777777" w:rsidR="003E0582" w:rsidRPr="006C7C63" w:rsidRDefault="003E0582" w:rsidP="003E0582">
      <w:pPr>
        <w:rPr>
          <w:rFonts w:ascii="Arial" w:hAnsi="Arial" w:cs="Arial"/>
          <w:sz w:val="22"/>
          <w:szCs w:val="22"/>
        </w:rPr>
      </w:pPr>
      <w:r w:rsidRPr="006C7C63">
        <w:rPr>
          <w:rFonts w:ascii="Arial" w:hAnsi="Arial" w:cs="Arial"/>
          <w:sz w:val="22"/>
          <w:szCs w:val="22"/>
        </w:rPr>
        <w:t>I01 RX001776-01</w:t>
      </w:r>
      <w:r w:rsidRPr="006C7C63">
        <w:rPr>
          <w:rFonts w:ascii="Arial" w:hAnsi="Arial" w:cs="Arial"/>
          <w:sz w:val="22"/>
          <w:szCs w:val="22"/>
        </w:rPr>
        <w:tab/>
      </w:r>
      <w:r w:rsidRPr="006C7C63">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6C7C63">
        <w:rPr>
          <w:rFonts w:ascii="Arial" w:hAnsi="Arial" w:cs="Arial"/>
          <w:sz w:val="22"/>
          <w:szCs w:val="22"/>
        </w:rPr>
        <w:t>Clark</w:t>
      </w:r>
      <w:r w:rsidRPr="006C7C63">
        <w:rPr>
          <w:rFonts w:ascii="Arial" w:hAnsi="Arial" w:cs="Arial"/>
          <w:sz w:val="22"/>
          <w:szCs w:val="22"/>
        </w:rPr>
        <w:tab/>
      </w:r>
      <w:r w:rsidRPr="006C7C63">
        <w:rPr>
          <w:rFonts w:ascii="Arial" w:hAnsi="Arial" w:cs="Arial"/>
          <w:sz w:val="22"/>
          <w:szCs w:val="22"/>
        </w:rPr>
        <w:tab/>
      </w:r>
      <w:r w:rsidRPr="006C7C63">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4/1/16-3/31/</w:t>
      </w:r>
      <w:r w:rsidRPr="006C7C63">
        <w:rPr>
          <w:rFonts w:ascii="Arial" w:hAnsi="Arial" w:cs="Arial"/>
          <w:sz w:val="22"/>
          <w:szCs w:val="22"/>
        </w:rPr>
        <w:t>20</w:t>
      </w:r>
    </w:p>
    <w:p w14:paraId="57347D88" w14:textId="77777777" w:rsidR="003E0582" w:rsidRPr="006C7C63" w:rsidRDefault="003E0582" w:rsidP="003E0582">
      <w:pPr>
        <w:rPr>
          <w:rFonts w:ascii="Arial" w:hAnsi="Arial" w:cs="Arial"/>
          <w:sz w:val="22"/>
          <w:szCs w:val="22"/>
        </w:rPr>
      </w:pPr>
      <w:r w:rsidRPr="006C7C63">
        <w:rPr>
          <w:rFonts w:ascii="Arial" w:hAnsi="Arial" w:cs="Arial"/>
          <w:sz w:val="22"/>
          <w:szCs w:val="22"/>
        </w:rPr>
        <w:t>VA-RR&amp;D</w:t>
      </w:r>
    </w:p>
    <w:p w14:paraId="13C0B123" w14:textId="77777777" w:rsidR="003E0582" w:rsidRPr="003E0582" w:rsidRDefault="003E0582" w:rsidP="003E0582">
      <w:pPr>
        <w:rPr>
          <w:rFonts w:ascii="Arial" w:hAnsi="Arial" w:cs="Arial"/>
          <w:i/>
          <w:sz w:val="22"/>
          <w:szCs w:val="22"/>
        </w:rPr>
      </w:pPr>
      <w:r w:rsidRPr="006C7C63">
        <w:rPr>
          <w:rFonts w:ascii="Arial" w:hAnsi="Arial" w:cs="Arial"/>
          <w:i/>
          <w:sz w:val="22"/>
          <w:szCs w:val="22"/>
        </w:rPr>
        <w:t>Pain after Trauma and TBI: Epigenetic Mechanisms</w:t>
      </w:r>
    </w:p>
    <w:p w14:paraId="62584050" w14:textId="77777777" w:rsidR="005A4F42" w:rsidRPr="003E0582" w:rsidRDefault="003E0582" w:rsidP="003E0582">
      <w:pPr>
        <w:rPr>
          <w:rFonts w:ascii="Arial" w:hAnsi="Arial" w:cs="Arial"/>
          <w:sz w:val="22"/>
          <w:szCs w:val="22"/>
        </w:rPr>
      </w:pPr>
      <w:r w:rsidRPr="006C7C63">
        <w:rPr>
          <w:rFonts w:ascii="Arial" w:hAnsi="Arial" w:cs="Arial"/>
          <w:sz w:val="22"/>
          <w:szCs w:val="22"/>
        </w:rPr>
        <w:t>Goals: The goals of this project are to: 1) Define how alterations in descending inhibition contribute to nociceptive sensitization after TBI, 2) Define the role of loss of spinal noradrenalin after TBI in permitting excessive up-regulation of sensitization after TBI, and 3) Define the role of spinal BDNF in supporting nociceptive sensitization after TBI.</w:t>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r>
      <w:r w:rsidR="005A4F42" w:rsidRPr="00031B92">
        <w:rPr>
          <w:rFonts w:ascii="Arial" w:hAnsi="Arial" w:cs="Arial"/>
          <w:i/>
          <w:sz w:val="22"/>
          <w:szCs w:val="22"/>
        </w:rPr>
        <w:tab/>
        <w:t xml:space="preserve">                </w:t>
      </w:r>
    </w:p>
    <w:p w14:paraId="6EA82A88" w14:textId="77777777" w:rsidR="005A4F42" w:rsidRDefault="005A4F42" w:rsidP="005A4F42">
      <w:pPr>
        <w:jc w:val="both"/>
        <w:rPr>
          <w:rFonts w:ascii="Arial" w:hAnsi="Arial" w:cs="Arial"/>
          <w:sz w:val="22"/>
          <w:szCs w:val="22"/>
        </w:rPr>
      </w:pPr>
    </w:p>
    <w:p w14:paraId="44748BB5" w14:textId="77777777" w:rsidR="005A4F42" w:rsidRDefault="005A4F42" w:rsidP="005A4F42">
      <w:pPr>
        <w:jc w:val="both"/>
        <w:rPr>
          <w:rStyle w:val="clsstaticdata1"/>
          <w:sz w:val="22"/>
          <w:szCs w:val="22"/>
        </w:rPr>
      </w:pPr>
      <w:r w:rsidRPr="00280DC2">
        <w:rPr>
          <w:rFonts w:ascii="Arial" w:hAnsi="Arial" w:cs="Arial"/>
          <w:b/>
          <w:sz w:val="22"/>
          <w:szCs w:val="22"/>
          <w:u w:val="single"/>
        </w:rPr>
        <w:t xml:space="preserve">Completed </w:t>
      </w:r>
    </w:p>
    <w:p w14:paraId="46207299" w14:textId="77777777" w:rsidR="005A4F42" w:rsidRDefault="005A4F42" w:rsidP="005A4F42">
      <w:pPr>
        <w:jc w:val="both"/>
        <w:rPr>
          <w:rFonts w:ascii="Arial" w:hAnsi="Arial" w:cs="Arial"/>
          <w:color w:val="000000"/>
          <w:sz w:val="22"/>
          <w:szCs w:val="22"/>
        </w:rPr>
      </w:pPr>
    </w:p>
    <w:p w14:paraId="65D93B3C" w14:textId="77777777" w:rsidR="00404FE1" w:rsidRDefault="00404FE1" w:rsidP="00404FE1">
      <w:pPr>
        <w:jc w:val="both"/>
        <w:rPr>
          <w:rFonts w:ascii="Arial" w:hAnsi="Arial" w:cs="Arial"/>
          <w:color w:val="000000"/>
          <w:spacing w:val="-4"/>
          <w:sz w:val="22"/>
          <w:szCs w:val="22"/>
        </w:rPr>
      </w:pPr>
      <w:r w:rsidRPr="00031B92">
        <w:rPr>
          <w:rFonts w:ascii="Arial" w:hAnsi="Arial" w:cs="Arial"/>
          <w:color w:val="000000"/>
          <w:spacing w:val="-4"/>
          <w:sz w:val="22"/>
          <w:szCs w:val="22"/>
        </w:rPr>
        <w:t>5R21DA036333-02</w:t>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t>Clark</w:t>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r>
      <w:r>
        <w:rPr>
          <w:rFonts w:ascii="Arial" w:hAnsi="Arial" w:cs="Arial"/>
          <w:color w:val="000000"/>
          <w:spacing w:val="-4"/>
          <w:sz w:val="22"/>
          <w:szCs w:val="22"/>
        </w:rPr>
        <w:tab/>
        <w:t>6/7/13-8/31/15</w:t>
      </w:r>
    </w:p>
    <w:p w14:paraId="59C25CF7" w14:textId="77777777" w:rsidR="00404FE1" w:rsidRPr="000F344A" w:rsidRDefault="00404FE1" w:rsidP="00404FE1">
      <w:pPr>
        <w:jc w:val="both"/>
        <w:rPr>
          <w:rFonts w:ascii="Arial" w:hAnsi="Arial" w:cs="Arial"/>
          <w:color w:val="000000"/>
          <w:spacing w:val="-4"/>
          <w:sz w:val="22"/>
          <w:szCs w:val="22"/>
        </w:rPr>
      </w:pPr>
      <w:r>
        <w:rPr>
          <w:rFonts w:ascii="Arial" w:hAnsi="Arial" w:cs="Arial"/>
          <w:color w:val="000000"/>
          <w:spacing w:val="-4"/>
          <w:sz w:val="22"/>
          <w:szCs w:val="22"/>
        </w:rPr>
        <w:t>NIH/NIDA</w:t>
      </w:r>
    </w:p>
    <w:p w14:paraId="1075465A" w14:textId="77777777" w:rsidR="00404FE1" w:rsidRDefault="00404FE1" w:rsidP="00404FE1">
      <w:pPr>
        <w:tabs>
          <w:tab w:val="left" w:pos="720"/>
          <w:tab w:val="left" w:pos="1620"/>
        </w:tabs>
        <w:jc w:val="both"/>
        <w:rPr>
          <w:rFonts w:ascii="Arial" w:hAnsi="Arial" w:cs="Arial"/>
          <w:sz w:val="22"/>
          <w:szCs w:val="22"/>
        </w:rPr>
      </w:pPr>
      <w:r w:rsidRPr="00031B92">
        <w:rPr>
          <w:rFonts w:ascii="Arial" w:hAnsi="Arial" w:cs="Arial"/>
          <w:i/>
          <w:sz w:val="22"/>
          <w:szCs w:val="22"/>
        </w:rPr>
        <w:t>The In Silico Genetic Analysis of Opioid Adaptations</w:t>
      </w:r>
    </w:p>
    <w:p w14:paraId="7E189D45" w14:textId="77777777" w:rsidR="00404FE1" w:rsidRDefault="00404FE1" w:rsidP="00404FE1">
      <w:pPr>
        <w:jc w:val="both"/>
        <w:rPr>
          <w:rFonts w:ascii="Arial" w:hAnsi="Arial" w:cs="Arial"/>
          <w:color w:val="000000"/>
          <w:sz w:val="22"/>
          <w:szCs w:val="22"/>
        </w:rPr>
      </w:pPr>
      <w:r>
        <w:rPr>
          <w:rFonts w:ascii="Arial" w:hAnsi="Arial" w:cs="Arial"/>
          <w:sz w:val="22"/>
          <w:szCs w:val="22"/>
        </w:rPr>
        <w:t>Goal: The goal of this study is to develop techniques for applying whole genome genetic mapping in mice to traits related to opioid analgesia and abuse.</w:t>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r>
      <w:r w:rsidRPr="00031B92">
        <w:rPr>
          <w:rFonts w:ascii="Arial" w:hAnsi="Arial" w:cs="Arial"/>
          <w:i/>
          <w:sz w:val="22"/>
          <w:szCs w:val="22"/>
        </w:rPr>
        <w:tab/>
        <w:t xml:space="preserve">                </w:t>
      </w:r>
    </w:p>
    <w:p w14:paraId="11565136" w14:textId="77777777" w:rsidR="00404FE1" w:rsidRDefault="00404FE1" w:rsidP="00A4487B">
      <w:pPr>
        <w:jc w:val="both"/>
        <w:rPr>
          <w:rFonts w:ascii="Arial" w:hAnsi="Arial" w:cs="Arial"/>
          <w:color w:val="000000"/>
          <w:sz w:val="22"/>
          <w:szCs w:val="22"/>
        </w:rPr>
      </w:pPr>
    </w:p>
    <w:p w14:paraId="377642E2" w14:textId="77777777" w:rsidR="00A4487B" w:rsidRDefault="00A4487B" w:rsidP="00A4487B">
      <w:pPr>
        <w:jc w:val="both"/>
        <w:rPr>
          <w:rFonts w:ascii="Arial" w:hAnsi="Arial" w:cs="Arial"/>
          <w:sz w:val="22"/>
          <w:szCs w:val="22"/>
        </w:rPr>
      </w:pPr>
      <w:r w:rsidRPr="00280DC2">
        <w:rPr>
          <w:rFonts w:ascii="Arial" w:hAnsi="Arial" w:cs="Arial"/>
          <w:color w:val="000000"/>
          <w:sz w:val="22"/>
          <w:szCs w:val="22"/>
        </w:rPr>
        <w:t>I01</w:t>
      </w:r>
      <w:r>
        <w:rPr>
          <w:rFonts w:ascii="Arial" w:hAnsi="Arial" w:cs="Arial"/>
          <w:color w:val="000000"/>
          <w:sz w:val="22"/>
          <w:szCs w:val="22"/>
        </w:rPr>
        <w:t xml:space="preserve"> </w:t>
      </w:r>
      <w:r w:rsidRPr="00280DC2">
        <w:rPr>
          <w:rFonts w:ascii="Arial" w:hAnsi="Arial" w:cs="Arial"/>
          <w:color w:val="000000"/>
          <w:sz w:val="22"/>
          <w:szCs w:val="22"/>
        </w:rPr>
        <w:t>BX00088</w:t>
      </w:r>
      <w:r>
        <w:rPr>
          <w:rFonts w:ascii="Arial" w:hAnsi="Arial" w:cs="Arial"/>
          <w:color w:val="000000"/>
          <w:sz w:val="22"/>
          <w:szCs w:val="22"/>
        </w:rPr>
        <w:t>1</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280DC2">
        <w:rPr>
          <w:rFonts w:ascii="Arial" w:hAnsi="Arial" w:cs="Arial"/>
          <w:sz w:val="22"/>
          <w:szCs w:val="22"/>
        </w:rPr>
        <w:t>Clark</w:t>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t>1</w:t>
      </w:r>
      <w:r>
        <w:rPr>
          <w:rFonts w:ascii="Arial" w:hAnsi="Arial" w:cs="Arial"/>
          <w:sz w:val="22"/>
          <w:szCs w:val="22"/>
        </w:rPr>
        <w:t>0/1</w:t>
      </w:r>
      <w:r w:rsidRPr="00280DC2">
        <w:rPr>
          <w:rFonts w:ascii="Arial" w:hAnsi="Arial" w:cs="Arial"/>
          <w:sz w:val="22"/>
          <w:szCs w:val="22"/>
        </w:rPr>
        <w:t>/10-9/</w:t>
      </w:r>
      <w:r>
        <w:rPr>
          <w:rFonts w:ascii="Arial" w:hAnsi="Arial" w:cs="Arial"/>
          <w:sz w:val="22"/>
          <w:szCs w:val="22"/>
        </w:rPr>
        <w:t>30/</w:t>
      </w:r>
      <w:r w:rsidRPr="00280DC2">
        <w:rPr>
          <w:rFonts w:ascii="Arial" w:hAnsi="Arial" w:cs="Arial"/>
          <w:sz w:val="22"/>
          <w:szCs w:val="22"/>
        </w:rPr>
        <w:t>14</w:t>
      </w:r>
    </w:p>
    <w:p w14:paraId="4EF0AFC4" w14:textId="77777777" w:rsidR="00A4487B" w:rsidRDefault="00A4487B" w:rsidP="00A4487B">
      <w:pPr>
        <w:jc w:val="both"/>
        <w:rPr>
          <w:rFonts w:ascii="Arial" w:hAnsi="Arial" w:cs="Arial"/>
          <w:sz w:val="22"/>
          <w:szCs w:val="22"/>
        </w:rPr>
      </w:pPr>
      <w:r w:rsidRPr="00280DC2">
        <w:rPr>
          <w:rFonts w:ascii="Arial" w:hAnsi="Arial" w:cs="Arial"/>
          <w:sz w:val="22"/>
          <w:szCs w:val="22"/>
        </w:rPr>
        <w:t>VA Merit Review</w:t>
      </w:r>
    </w:p>
    <w:p w14:paraId="0293DFFA" w14:textId="77777777" w:rsidR="00A4487B" w:rsidRDefault="00A4487B" w:rsidP="00A4487B">
      <w:pPr>
        <w:jc w:val="both"/>
        <w:rPr>
          <w:rFonts w:ascii="Arial" w:hAnsi="Arial" w:cs="Arial"/>
          <w:i/>
          <w:sz w:val="22"/>
          <w:szCs w:val="22"/>
        </w:rPr>
      </w:pPr>
      <w:r w:rsidRPr="00280DC2">
        <w:rPr>
          <w:rFonts w:ascii="Arial" w:hAnsi="Arial" w:cs="Arial"/>
          <w:i/>
          <w:sz w:val="22"/>
          <w:szCs w:val="22"/>
        </w:rPr>
        <w:t>Genetics and Gene X Environment Interactions during Opioid Administration</w:t>
      </w:r>
    </w:p>
    <w:p w14:paraId="7E043144" w14:textId="77777777" w:rsidR="00A4487B" w:rsidRDefault="00A4487B" w:rsidP="005A4F42">
      <w:pPr>
        <w:jc w:val="both"/>
        <w:rPr>
          <w:rFonts w:ascii="Arial" w:hAnsi="Arial" w:cs="Arial"/>
          <w:sz w:val="22"/>
          <w:szCs w:val="22"/>
        </w:rPr>
      </w:pPr>
      <w:r w:rsidRPr="00280DC2">
        <w:rPr>
          <w:rFonts w:ascii="Arial" w:hAnsi="Arial" w:cs="Arial"/>
          <w:sz w:val="22"/>
          <w:szCs w:val="22"/>
        </w:rPr>
        <w:t>Goal: This study uses a classical twin paradigm to determine the genetic component of pain sensitivity and opioid sensitivity in humans.</w:t>
      </w:r>
    </w:p>
    <w:p w14:paraId="01E2E76F" w14:textId="77777777" w:rsidR="00A4487B" w:rsidRDefault="00A4487B" w:rsidP="005A4F42">
      <w:pPr>
        <w:jc w:val="both"/>
        <w:rPr>
          <w:rFonts w:ascii="Arial" w:hAnsi="Arial" w:cs="Arial"/>
          <w:sz w:val="22"/>
          <w:szCs w:val="22"/>
        </w:rPr>
      </w:pPr>
    </w:p>
    <w:p w14:paraId="78D53CC0" w14:textId="77777777" w:rsidR="005A4F42" w:rsidRPr="000F344A" w:rsidRDefault="005A4F42" w:rsidP="005A4F42">
      <w:pPr>
        <w:jc w:val="both"/>
        <w:rPr>
          <w:rFonts w:ascii="Arial" w:hAnsi="Arial" w:cs="Arial"/>
          <w:sz w:val="22"/>
          <w:szCs w:val="22"/>
        </w:rPr>
      </w:pPr>
      <w:r w:rsidRPr="000F344A">
        <w:rPr>
          <w:rFonts w:ascii="Arial" w:hAnsi="Arial" w:cs="Arial"/>
          <w:sz w:val="22"/>
          <w:szCs w:val="22"/>
        </w:rPr>
        <w:t xml:space="preserve">R01 DA021332 </w:t>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t>Clark</w:t>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r>
      <w:r w:rsidRPr="000F344A">
        <w:rPr>
          <w:rFonts w:ascii="Arial" w:hAnsi="Arial" w:cs="Arial"/>
          <w:sz w:val="22"/>
          <w:szCs w:val="22"/>
        </w:rPr>
        <w:tab/>
        <w:t xml:space="preserve">8/1/07-6/31/13 </w:t>
      </w:r>
    </w:p>
    <w:p w14:paraId="27889122" w14:textId="77777777" w:rsidR="005A4F42" w:rsidRPr="000F344A" w:rsidRDefault="005A4F42" w:rsidP="005A4F42">
      <w:pPr>
        <w:jc w:val="both"/>
        <w:rPr>
          <w:rFonts w:ascii="Arial" w:hAnsi="Arial" w:cs="Arial"/>
          <w:sz w:val="22"/>
          <w:szCs w:val="22"/>
        </w:rPr>
      </w:pPr>
      <w:r w:rsidRPr="000F344A">
        <w:rPr>
          <w:rFonts w:ascii="Arial" w:hAnsi="Arial" w:cs="Arial"/>
          <w:sz w:val="22"/>
          <w:szCs w:val="22"/>
        </w:rPr>
        <w:t>NIH/NIDA</w:t>
      </w:r>
      <w:r w:rsidRPr="000F344A">
        <w:rPr>
          <w:rFonts w:ascii="Arial" w:hAnsi="Arial" w:cs="Arial"/>
          <w:sz w:val="22"/>
          <w:szCs w:val="22"/>
        </w:rPr>
        <w:tab/>
      </w:r>
      <w:r w:rsidRPr="000F344A">
        <w:rPr>
          <w:rFonts w:ascii="Arial" w:hAnsi="Arial" w:cs="Arial"/>
          <w:sz w:val="22"/>
          <w:szCs w:val="22"/>
        </w:rPr>
        <w:tab/>
      </w:r>
    </w:p>
    <w:p w14:paraId="3D3487D0" w14:textId="77777777" w:rsidR="005A4F42" w:rsidRPr="000F344A" w:rsidRDefault="005A4F42" w:rsidP="005A4F42">
      <w:pPr>
        <w:jc w:val="both"/>
        <w:rPr>
          <w:rFonts w:ascii="Arial" w:hAnsi="Arial" w:cs="Arial"/>
          <w:sz w:val="22"/>
          <w:szCs w:val="22"/>
        </w:rPr>
      </w:pPr>
      <w:r w:rsidRPr="000F344A">
        <w:rPr>
          <w:rFonts w:ascii="Arial" w:hAnsi="Arial" w:cs="Arial"/>
          <w:sz w:val="22"/>
          <w:szCs w:val="22"/>
        </w:rPr>
        <w:t>Genetic Determinants of Opioid-Induced Hyperalgesia</w:t>
      </w:r>
    </w:p>
    <w:p w14:paraId="234B14D3" w14:textId="77777777" w:rsidR="005A4F42" w:rsidRDefault="005A4F42" w:rsidP="005A4F42">
      <w:pPr>
        <w:jc w:val="both"/>
        <w:rPr>
          <w:rFonts w:ascii="Arial" w:hAnsi="Arial" w:cs="Arial"/>
          <w:sz w:val="22"/>
          <w:szCs w:val="22"/>
        </w:rPr>
      </w:pPr>
      <w:r w:rsidRPr="000F344A">
        <w:rPr>
          <w:rFonts w:ascii="Arial" w:hAnsi="Arial" w:cs="Arial"/>
          <w:sz w:val="22"/>
          <w:szCs w:val="22"/>
        </w:rPr>
        <w:t>Goal: This project seeks to identify and confirm using genetic methods gene variants contributing to opioid efficacy, tolerance, dependence, and hyperalgesia.</w:t>
      </w:r>
    </w:p>
    <w:p w14:paraId="126AA976" w14:textId="77777777" w:rsidR="005A4F42" w:rsidRDefault="005A4F42" w:rsidP="005A4F42">
      <w:pPr>
        <w:jc w:val="both"/>
        <w:rPr>
          <w:rFonts w:ascii="Arial" w:hAnsi="Arial" w:cs="Arial"/>
          <w:sz w:val="22"/>
          <w:szCs w:val="22"/>
        </w:rPr>
      </w:pPr>
    </w:p>
    <w:p w14:paraId="20F3E04C" w14:textId="77777777" w:rsidR="005A4F42" w:rsidRDefault="005A4F42" w:rsidP="005A4F42">
      <w:pPr>
        <w:jc w:val="both"/>
        <w:rPr>
          <w:rFonts w:ascii="Arial" w:hAnsi="Arial" w:cs="Arial"/>
          <w:sz w:val="22"/>
          <w:szCs w:val="22"/>
        </w:rPr>
      </w:pPr>
      <w:r w:rsidRPr="00280DC2">
        <w:rPr>
          <w:rFonts w:ascii="Arial" w:hAnsi="Arial" w:cs="Arial"/>
          <w:sz w:val="22"/>
          <w:szCs w:val="22"/>
        </w:rPr>
        <w:t xml:space="preserve">R01 GM079126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280DC2">
        <w:rPr>
          <w:rFonts w:ascii="Arial" w:hAnsi="Arial" w:cs="Arial"/>
          <w:sz w:val="22"/>
          <w:szCs w:val="22"/>
        </w:rPr>
        <w:t>Clark</w:t>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r>
      <w:r w:rsidRPr="00280DC2">
        <w:rPr>
          <w:rFonts w:ascii="Arial" w:hAnsi="Arial" w:cs="Arial"/>
          <w:sz w:val="22"/>
          <w:szCs w:val="22"/>
        </w:rPr>
        <w:tab/>
        <w:t>8/</w:t>
      </w:r>
      <w:r>
        <w:rPr>
          <w:rFonts w:ascii="Arial" w:hAnsi="Arial" w:cs="Arial"/>
          <w:sz w:val="22"/>
          <w:szCs w:val="22"/>
        </w:rPr>
        <w:t>1/</w:t>
      </w:r>
      <w:r w:rsidRPr="00280DC2">
        <w:rPr>
          <w:rFonts w:ascii="Arial" w:hAnsi="Arial" w:cs="Arial"/>
          <w:sz w:val="22"/>
          <w:szCs w:val="22"/>
        </w:rPr>
        <w:t>08-</w:t>
      </w:r>
      <w:r>
        <w:rPr>
          <w:rFonts w:ascii="Arial" w:hAnsi="Arial" w:cs="Arial"/>
          <w:sz w:val="22"/>
          <w:szCs w:val="22"/>
        </w:rPr>
        <w:t>4</w:t>
      </w:r>
      <w:r w:rsidRPr="00280DC2">
        <w:rPr>
          <w:rFonts w:ascii="Arial" w:hAnsi="Arial" w:cs="Arial"/>
          <w:sz w:val="22"/>
          <w:szCs w:val="22"/>
        </w:rPr>
        <w:t>/</w:t>
      </w:r>
      <w:r>
        <w:rPr>
          <w:rFonts w:ascii="Arial" w:hAnsi="Arial" w:cs="Arial"/>
          <w:sz w:val="22"/>
          <w:szCs w:val="22"/>
        </w:rPr>
        <w:t>30/</w:t>
      </w:r>
      <w:r w:rsidRPr="00280DC2">
        <w:rPr>
          <w:rFonts w:ascii="Arial" w:hAnsi="Arial" w:cs="Arial"/>
          <w:sz w:val="22"/>
          <w:szCs w:val="22"/>
        </w:rPr>
        <w:t>1</w:t>
      </w:r>
      <w:r>
        <w:rPr>
          <w:rFonts w:ascii="Arial" w:hAnsi="Arial" w:cs="Arial"/>
          <w:sz w:val="22"/>
          <w:szCs w:val="22"/>
        </w:rPr>
        <w:t>3</w:t>
      </w:r>
      <w:r w:rsidRPr="00280DC2">
        <w:rPr>
          <w:rFonts w:ascii="Arial" w:hAnsi="Arial" w:cs="Arial"/>
          <w:sz w:val="22"/>
          <w:szCs w:val="22"/>
        </w:rPr>
        <w:t xml:space="preserve"> </w:t>
      </w:r>
    </w:p>
    <w:p w14:paraId="46F08193" w14:textId="77777777" w:rsidR="005A4F42" w:rsidRDefault="005A4F42" w:rsidP="005A4F42">
      <w:pPr>
        <w:tabs>
          <w:tab w:val="left" w:pos="1080"/>
        </w:tabs>
        <w:autoSpaceDE/>
        <w:autoSpaceDN/>
        <w:jc w:val="both"/>
        <w:rPr>
          <w:rFonts w:ascii="Arial" w:hAnsi="Arial" w:cs="Arial"/>
          <w:sz w:val="22"/>
          <w:szCs w:val="22"/>
        </w:rPr>
      </w:pPr>
      <w:r w:rsidRPr="00280DC2">
        <w:rPr>
          <w:rFonts w:ascii="Arial" w:hAnsi="Arial" w:cs="Arial"/>
          <w:sz w:val="22"/>
          <w:szCs w:val="22"/>
        </w:rPr>
        <w:t>NIH/NIGMS</w:t>
      </w:r>
    </w:p>
    <w:p w14:paraId="13A7C690" w14:textId="77777777" w:rsidR="005A4F42" w:rsidRDefault="005A4F42" w:rsidP="005A4F42">
      <w:pPr>
        <w:tabs>
          <w:tab w:val="left" w:pos="1080"/>
        </w:tabs>
        <w:autoSpaceDE/>
        <w:autoSpaceDN/>
        <w:jc w:val="both"/>
        <w:rPr>
          <w:rFonts w:ascii="Arial" w:hAnsi="Arial" w:cs="Arial"/>
          <w:i/>
          <w:sz w:val="22"/>
          <w:szCs w:val="22"/>
        </w:rPr>
      </w:pPr>
      <w:r w:rsidRPr="00280DC2">
        <w:rPr>
          <w:rFonts w:ascii="Arial" w:hAnsi="Arial" w:cs="Arial"/>
          <w:i/>
          <w:sz w:val="22"/>
          <w:szCs w:val="22"/>
        </w:rPr>
        <w:lastRenderedPageBreak/>
        <w:t>Complement System Modulation of Nociception and Inflammation after Incision</w:t>
      </w:r>
    </w:p>
    <w:p w14:paraId="267933D8" w14:textId="77777777" w:rsidR="00F92C5D" w:rsidRPr="009C0455" w:rsidRDefault="005A4F42" w:rsidP="006B5D06">
      <w:pPr>
        <w:jc w:val="both"/>
        <w:rPr>
          <w:rFonts w:ascii="Arial" w:hAnsi="Arial" w:cs="Arial"/>
          <w:color w:val="000000"/>
          <w:sz w:val="22"/>
          <w:szCs w:val="22"/>
        </w:rPr>
      </w:pPr>
      <w:r w:rsidRPr="00280DC2">
        <w:rPr>
          <w:rStyle w:val="clsstaticdata1"/>
          <w:sz w:val="22"/>
          <w:szCs w:val="22"/>
        </w:rPr>
        <w:t>Goal: This project examines the role of complement fragments in supporting nociception after incision.</w:t>
      </w:r>
    </w:p>
    <w:sectPr w:rsidR="00F92C5D" w:rsidRPr="009C0455" w:rsidSect="00BC63CD">
      <w:type w:val="continuous"/>
      <w:pgSz w:w="12240" w:h="15840" w:code="1"/>
      <w:pgMar w:top="720" w:right="720" w:bottom="720" w:left="720" w:header="720"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4213C" w14:textId="77777777" w:rsidR="007D5046" w:rsidRDefault="007D5046">
      <w:r>
        <w:separator/>
      </w:r>
    </w:p>
  </w:endnote>
  <w:endnote w:type="continuationSeparator" w:id="0">
    <w:p w14:paraId="1E929932" w14:textId="77777777" w:rsidR="007D5046" w:rsidRDefault="007D5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06A38" w14:textId="77777777" w:rsidR="007D5046" w:rsidRDefault="007D5046">
      <w:r>
        <w:separator/>
      </w:r>
    </w:p>
  </w:footnote>
  <w:footnote w:type="continuationSeparator" w:id="0">
    <w:p w14:paraId="7E532BDB" w14:textId="77777777" w:rsidR="007D5046" w:rsidRDefault="007D50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E7A18F7"/>
    <w:multiLevelType w:val="hybridMultilevel"/>
    <w:tmpl w:val="8C1A2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1E44EE"/>
    <w:multiLevelType w:val="hybridMultilevel"/>
    <w:tmpl w:val="8C1A2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38E681E"/>
    <w:multiLevelType w:val="singleLevel"/>
    <w:tmpl w:val="04090013"/>
    <w:lvl w:ilvl="0">
      <w:start w:val="5"/>
      <w:numFmt w:val="upperRoman"/>
      <w:pStyle w:val="ReminderList3"/>
      <w:lvlText w:val="%1."/>
      <w:lvlJc w:val="left"/>
      <w:pPr>
        <w:tabs>
          <w:tab w:val="num" w:pos="720"/>
        </w:tabs>
        <w:ind w:left="720" w:hanging="720"/>
      </w:pPr>
      <w:rPr>
        <w:rFonts w:hint="default"/>
      </w:rPr>
    </w:lvl>
  </w:abstractNum>
  <w:abstractNum w:abstractNumId="13" w15:restartNumberingAfterBreak="0">
    <w:nsid w:val="294E429D"/>
    <w:multiLevelType w:val="hybridMultilevel"/>
    <w:tmpl w:val="72D004E0"/>
    <w:lvl w:ilvl="0" w:tplc="43D252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2FEA58B7"/>
    <w:multiLevelType w:val="hybridMultilevel"/>
    <w:tmpl w:val="BFD4C6E4"/>
    <w:lvl w:ilvl="0" w:tplc="04090015">
      <w:start w:val="5"/>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3614F32"/>
    <w:multiLevelType w:val="hybridMultilevel"/>
    <w:tmpl w:val="8C1A2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58728F9"/>
    <w:multiLevelType w:val="hybridMultilevel"/>
    <w:tmpl w:val="CDE683BA"/>
    <w:lvl w:ilvl="0" w:tplc="1B20E1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9E62D8"/>
    <w:multiLevelType w:val="multilevel"/>
    <w:tmpl w:val="55E0F6FE"/>
    <w:lvl w:ilvl="0">
      <w:start w:val="1"/>
      <w:numFmt w:val="decimal"/>
      <w:pStyle w:val="ReminderList1"/>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15:restartNumberingAfterBreak="0">
    <w:nsid w:val="74EC4447"/>
    <w:multiLevelType w:val="singleLevel"/>
    <w:tmpl w:val="04090001"/>
    <w:lvl w:ilvl="0">
      <w:start w:val="1"/>
      <w:numFmt w:val="bullet"/>
      <w:pStyle w:val="QuickA"/>
      <w:lvlText w:val=""/>
      <w:lvlJc w:val="left"/>
      <w:pPr>
        <w:tabs>
          <w:tab w:val="num" w:pos="360"/>
        </w:tabs>
        <w:ind w:left="360" w:hanging="360"/>
      </w:pPr>
      <w:rPr>
        <w:rFonts w:ascii="Symbol" w:hAnsi="Symbol" w:cs="Times New Roman" w:hint="default"/>
      </w:rPr>
    </w:lvl>
  </w:abstractNum>
  <w:abstractNum w:abstractNumId="19" w15:restartNumberingAfterBreak="0">
    <w:nsid w:val="791E4E4B"/>
    <w:multiLevelType w:val="hybridMultilevel"/>
    <w:tmpl w:val="C88068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5536FC"/>
    <w:multiLevelType w:val="hybridMultilevel"/>
    <w:tmpl w:val="8C1A2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526816">
    <w:abstractNumId w:val="9"/>
  </w:num>
  <w:num w:numId="2" w16cid:durableId="1373532206">
    <w:abstractNumId w:val="7"/>
  </w:num>
  <w:num w:numId="3" w16cid:durableId="1339235171">
    <w:abstractNumId w:val="6"/>
  </w:num>
  <w:num w:numId="4" w16cid:durableId="1775516162">
    <w:abstractNumId w:val="5"/>
  </w:num>
  <w:num w:numId="5" w16cid:durableId="304507179">
    <w:abstractNumId w:val="4"/>
  </w:num>
  <w:num w:numId="6" w16cid:durableId="974456538">
    <w:abstractNumId w:val="8"/>
  </w:num>
  <w:num w:numId="7" w16cid:durableId="1820421423">
    <w:abstractNumId w:val="3"/>
  </w:num>
  <w:num w:numId="8" w16cid:durableId="121266015">
    <w:abstractNumId w:val="2"/>
  </w:num>
  <w:num w:numId="9" w16cid:durableId="804274673">
    <w:abstractNumId w:val="1"/>
  </w:num>
  <w:num w:numId="10" w16cid:durableId="1542328011">
    <w:abstractNumId w:val="0"/>
  </w:num>
  <w:num w:numId="11" w16cid:durableId="1838809548">
    <w:abstractNumId w:val="0"/>
  </w:num>
  <w:num w:numId="12" w16cid:durableId="1070931649">
    <w:abstractNumId w:val="17"/>
  </w:num>
  <w:num w:numId="13" w16cid:durableId="1939824064">
    <w:abstractNumId w:val="12"/>
  </w:num>
  <w:num w:numId="14" w16cid:durableId="927351433">
    <w:abstractNumId w:val="18"/>
  </w:num>
  <w:num w:numId="15" w16cid:durableId="1220824530">
    <w:abstractNumId w:val="10"/>
  </w:num>
  <w:num w:numId="16" w16cid:durableId="2100984672">
    <w:abstractNumId w:val="19"/>
  </w:num>
  <w:num w:numId="17" w16cid:durableId="739327281">
    <w:abstractNumId w:val="16"/>
  </w:num>
  <w:num w:numId="18" w16cid:durableId="1032878771">
    <w:abstractNumId w:val="15"/>
  </w:num>
  <w:num w:numId="19" w16cid:durableId="904098609">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003655">
    <w:abstractNumId w:val="13"/>
  </w:num>
  <w:num w:numId="21" w16cid:durableId="740448378">
    <w:abstractNumId w:val="14"/>
  </w:num>
  <w:num w:numId="22" w16cid:durableId="555319077">
    <w:abstractNumId w:val="11"/>
  </w:num>
  <w:num w:numId="23" w16cid:durableId="18241980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Arial&lt;/FontName&gt;&lt;FontSize&gt;9&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2t90v90lr5z0redex5p9dwfxsrtvfe292ap&quot;&gt;Biosketch Library&lt;record-ids&gt;&lt;item&gt;17&lt;/item&gt;&lt;item&gt;24&lt;/item&gt;&lt;item&gt;27&lt;/item&gt;&lt;item&gt;28&lt;/item&gt;&lt;/record-ids&gt;&lt;/item&gt;&lt;/Libraries&gt;"/>
  </w:docVars>
  <w:rsids>
    <w:rsidRoot w:val="003F6A45"/>
    <w:rsid w:val="00001AC3"/>
    <w:rsid w:val="00006EC1"/>
    <w:rsid w:val="00014BB5"/>
    <w:rsid w:val="00017669"/>
    <w:rsid w:val="00023A7A"/>
    <w:rsid w:val="00036042"/>
    <w:rsid w:val="00043BFB"/>
    <w:rsid w:val="000A3F93"/>
    <w:rsid w:val="000A7DAD"/>
    <w:rsid w:val="000D2632"/>
    <w:rsid w:val="000E1316"/>
    <w:rsid w:val="001231F1"/>
    <w:rsid w:val="00132D31"/>
    <w:rsid w:val="001400DA"/>
    <w:rsid w:val="00164214"/>
    <w:rsid w:val="0017581A"/>
    <w:rsid w:val="00175845"/>
    <w:rsid w:val="00193D86"/>
    <w:rsid w:val="001943C7"/>
    <w:rsid w:val="001A5474"/>
    <w:rsid w:val="001B120D"/>
    <w:rsid w:val="001C54D2"/>
    <w:rsid w:val="001E5EC2"/>
    <w:rsid w:val="001F6AEC"/>
    <w:rsid w:val="00204105"/>
    <w:rsid w:val="00213F9C"/>
    <w:rsid w:val="002216FB"/>
    <w:rsid w:val="00270604"/>
    <w:rsid w:val="00280DC2"/>
    <w:rsid w:val="00285524"/>
    <w:rsid w:val="002A3625"/>
    <w:rsid w:val="002B4E66"/>
    <w:rsid w:val="002D0B9E"/>
    <w:rsid w:val="002D3377"/>
    <w:rsid w:val="002D3DED"/>
    <w:rsid w:val="002E220B"/>
    <w:rsid w:val="002E5125"/>
    <w:rsid w:val="002E6924"/>
    <w:rsid w:val="002F19CD"/>
    <w:rsid w:val="002F3573"/>
    <w:rsid w:val="002F39BD"/>
    <w:rsid w:val="00313D73"/>
    <w:rsid w:val="00314AF2"/>
    <w:rsid w:val="00333462"/>
    <w:rsid w:val="0034126A"/>
    <w:rsid w:val="0034596E"/>
    <w:rsid w:val="003503DB"/>
    <w:rsid w:val="00351951"/>
    <w:rsid w:val="00353F1D"/>
    <w:rsid w:val="00355AE7"/>
    <w:rsid w:val="00363DAC"/>
    <w:rsid w:val="00392A74"/>
    <w:rsid w:val="00392E47"/>
    <w:rsid w:val="00395230"/>
    <w:rsid w:val="003A692C"/>
    <w:rsid w:val="003C1CBC"/>
    <w:rsid w:val="003C2D87"/>
    <w:rsid w:val="003E0582"/>
    <w:rsid w:val="003F6A45"/>
    <w:rsid w:val="00401335"/>
    <w:rsid w:val="00402A2A"/>
    <w:rsid w:val="00404FE1"/>
    <w:rsid w:val="00410BFE"/>
    <w:rsid w:val="0042247A"/>
    <w:rsid w:val="004435F1"/>
    <w:rsid w:val="004545E7"/>
    <w:rsid w:val="0046153E"/>
    <w:rsid w:val="004759D9"/>
    <w:rsid w:val="00482FA5"/>
    <w:rsid w:val="00486F2F"/>
    <w:rsid w:val="004A046C"/>
    <w:rsid w:val="004A17C7"/>
    <w:rsid w:val="004D07F9"/>
    <w:rsid w:val="004D2C93"/>
    <w:rsid w:val="00503D49"/>
    <w:rsid w:val="005145BB"/>
    <w:rsid w:val="00517BFD"/>
    <w:rsid w:val="0053541D"/>
    <w:rsid w:val="00541EBE"/>
    <w:rsid w:val="00543EA8"/>
    <w:rsid w:val="0054471F"/>
    <w:rsid w:val="00582CDF"/>
    <w:rsid w:val="005A497A"/>
    <w:rsid w:val="005A4F42"/>
    <w:rsid w:val="005B31E3"/>
    <w:rsid w:val="005C2BDD"/>
    <w:rsid w:val="005E17B1"/>
    <w:rsid w:val="005E6EC6"/>
    <w:rsid w:val="005F41C9"/>
    <w:rsid w:val="0060113B"/>
    <w:rsid w:val="00601C69"/>
    <w:rsid w:val="00607B5F"/>
    <w:rsid w:val="00613C4D"/>
    <w:rsid w:val="00632571"/>
    <w:rsid w:val="006347EC"/>
    <w:rsid w:val="00644567"/>
    <w:rsid w:val="00647ABF"/>
    <w:rsid w:val="0066042D"/>
    <w:rsid w:val="006B036A"/>
    <w:rsid w:val="006B5D06"/>
    <w:rsid w:val="006C1E1F"/>
    <w:rsid w:val="006D1677"/>
    <w:rsid w:val="006D6F4F"/>
    <w:rsid w:val="006D7EEC"/>
    <w:rsid w:val="006E140E"/>
    <w:rsid w:val="007102F5"/>
    <w:rsid w:val="00737160"/>
    <w:rsid w:val="007521CB"/>
    <w:rsid w:val="00757583"/>
    <w:rsid w:val="00773D68"/>
    <w:rsid w:val="007907E1"/>
    <w:rsid w:val="00797434"/>
    <w:rsid w:val="007D4BD8"/>
    <w:rsid w:val="007D5046"/>
    <w:rsid w:val="007E0AE5"/>
    <w:rsid w:val="008266F5"/>
    <w:rsid w:val="00843027"/>
    <w:rsid w:val="00843C93"/>
    <w:rsid w:val="0084525C"/>
    <w:rsid w:val="00860EF3"/>
    <w:rsid w:val="008614C3"/>
    <w:rsid w:val="00870F9E"/>
    <w:rsid w:val="00874EBC"/>
    <w:rsid w:val="008807A6"/>
    <w:rsid w:val="00890467"/>
    <w:rsid w:val="008A5054"/>
    <w:rsid w:val="008B0962"/>
    <w:rsid w:val="008B68DC"/>
    <w:rsid w:val="008D4022"/>
    <w:rsid w:val="008F1677"/>
    <w:rsid w:val="008F19E1"/>
    <w:rsid w:val="009211D3"/>
    <w:rsid w:val="00923B58"/>
    <w:rsid w:val="00927710"/>
    <w:rsid w:val="00931187"/>
    <w:rsid w:val="00934124"/>
    <w:rsid w:val="00952D2F"/>
    <w:rsid w:val="00967B29"/>
    <w:rsid w:val="00994E0B"/>
    <w:rsid w:val="009B3BE4"/>
    <w:rsid w:val="009C0455"/>
    <w:rsid w:val="009C08F8"/>
    <w:rsid w:val="009C2969"/>
    <w:rsid w:val="009F72E5"/>
    <w:rsid w:val="00A07C6A"/>
    <w:rsid w:val="00A273B2"/>
    <w:rsid w:val="00A31CB9"/>
    <w:rsid w:val="00A36461"/>
    <w:rsid w:val="00A4487B"/>
    <w:rsid w:val="00A46AC4"/>
    <w:rsid w:val="00A73A47"/>
    <w:rsid w:val="00A838A7"/>
    <w:rsid w:val="00A8505C"/>
    <w:rsid w:val="00A969E1"/>
    <w:rsid w:val="00AE41C4"/>
    <w:rsid w:val="00B15D4B"/>
    <w:rsid w:val="00B213C0"/>
    <w:rsid w:val="00B243C2"/>
    <w:rsid w:val="00B512A1"/>
    <w:rsid w:val="00B5567C"/>
    <w:rsid w:val="00B61911"/>
    <w:rsid w:val="00B94791"/>
    <w:rsid w:val="00BC0BB0"/>
    <w:rsid w:val="00BC42E6"/>
    <w:rsid w:val="00BC63CD"/>
    <w:rsid w:val="00C06ADC"/>
    <w:rsid w:val="00C134A9"/>
    <w:rsid w:val="00C45788"/>
    <w:rsid w:val="00C73BC6"/>
    <w:rsid w:val="00C85025"/>
    <w:rsid w:val="00C96D30"/>
    <w:rsid w:val="00CA4C66"/>
    <w:rsid w:val="00CB71F9"/>
    <w:rsid w:val="00CE01A8"/>
    <w:rsid w:val="00CE0951"/>
    <w:rsid w:val="00CF3C8E"/>
    <w:rsid w:val="00CF68A2"/>
    <w:rsid w:val="00D020E7"/>
    <w:rsid w:val="00D15E68"/>
    <w:rsid w:val="00D215B2"/>
    <w:rsid w:val="00D245D8"/>
    <w:rsid w:val="00D24A59"/>
    <w:rsid w:val="00D54620"/>
    <w:rsid w:val="00D679E5"/>
    <w:rsid w:val="00D70CB8"/>
    <w:rsid w:val="00D76706"/>
    <w:rsid w:val="00D83360"/>
    <w:rsid w:val="00D93396"/>
    <w:rsid w:val="00DA6D2C"/>
    <w:rsid w:val="00DB0925"/>
    <w:rsid w:val="00DC7E32"/>
    <w:rsid w:val="00DE3DF5"/>
    <w:rsid w:val="00E04F04"/>
    <w:rsid w:val="00E06B50"/>
    <w:rsid w:val="00E10780"/>
    <w:rsid w:val="00E25DB1"/>
    <w:rsid w:val="00E46D3F"/>
    <w:rsid w:val="00E64CFD"/>
    <w:rsid w:val="00E86B01"/>
    <w:rsid w:val="00EA3856"/>
    <w:rsid w:val="00EC5F7C"/>
    <w:rsid w:val="00EE46C7"/>
    <w:rsid w:val="00F02C2E"/>
    <w:rsid w:val="00F040E2"/>
    <w:rsid w:val="00F07AB3"/>
    <w:rsid w:val="00F12653"/>
    <w:rsid w:val="00F17651"/>
    <w:rsid w:val="00F177C3"/>
    <w:rsid w:val="00F40840"/>
    <w:rsid w:val="00F45AC8"/>
    <w:rsid w:val="00F57676"/>
    <w:rsid w:val="00F76FD3"/>
    <w:rsid w:val="00F92C5D"/>
    <w:rsid w:val="00FA00C6"/>
    <w:rsid w:val="00FB300B"/>
    <w:rsid w:val="00FB71DA"/>
    <w:rsid w:val="00FD18F0"/>
    <w:rsid w:val="00FD18F8"/>
    <w:rsid w:val="00FD330D"/>
    <w:rsid w:val="00FD73E6"/>
    <w:rsid w:val="00FF2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1516D"/>
  <w15:docId w15:val="{7F190ADA-896F-45AF-AE0E-CB52F75A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AE7"/>
    <w:pPr>
      <w:autoSpaceDE w:val="0"/>
      <w:autoSpaceDN w:val="0"/>
    </w:pPr>
    <w:rPr>
      <w:sz w:val="24"/>
      <w:szCs w:val="24"/>
    </w:rPr>
  </w:style>
  <w:style w:type="paragraph" w:styleId="Heading1">
    <w:name w:val="heading 1"/>
    <w:basedOn w:val="Normal"/>
    <w:next w:val="Normal"/>
    <w:qFormat/>
    <w:rsid w:val="00355AE7"/>
    <w:pPr>
      <w:jc w:val="center"/>
      <w:outlineLvl w:val="0"/>
    </w:pPr>
    <w:rPr>
      <w:rFonts w:ascii="Arial" w:hAnsi="Arial" w:cs="Arial"/>
      <w:b/>
      <w:bCs/>
      <w:sz w:val="22"/>
      <w:szCs w:val="22"/>
    </w:rPr>
  </w:style>
  <w:style w:type="paragraph" w:styleId="Heading2">
    <w:name w:val="heading 2"/>
    <w:basedOn w:val="Normal"/>
    <w:next w:val="Normal"/>
    <w:qFormat/>
    <w:rsid w:val="00355AE7"/>
    <w:pPr>
      <w:keepNext/>
      <w:jc w:val="center"/>
      <w:outlineLvl w:val="1"/>
    </w:pPr>
    <w:rPr>
      <w:rFonts w:ascii="Arial" w:hAnsi="Arial" w:cs="Arial"/>
      <w:b/>
      <w:bCs/>
      <w:sz w:val="28"/>
      <w:szCs w:val="28"/>
    </w:rPr>
  </w:style>
  <w:style w:type="paragraph" w:styleId="Heading4">
    <w:name w:val="heading 4"/>
    <w:basedOn w:val="Normal"/>
    <w:next w:val="Normal"/>
    <w:qFormat/>
    <w:rsid w:val="00F1265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355AE7"/>
    <w:pPr>
      <w:numPr>
        <w:numId w:val="1"/>
      </w:numPr>
    </w:pPr>
    <w:rPr>
      <w:rFonts w:ascii="Times" w:hAnsi="Times" w:cs="Times"/>
    </w:rPr>
  </w:style>
  <w:style w:type="paragraph" w:styleId="ListBullet2">
    <w:name w:val="List Bullet 2"/>
    <w:basedOn w:val="Normal"/>
    <w:autoRedefine/>
    <w:rsid w:val="00355AE7"/>
    <w:pPr>
      <w:numPr>
        <w:numId w:val="2"/>
      </w:numPr>
    </w:pPr>
    <w:rPr>
      <w:rFonts w:ascii="Times" w:hAnsi="Times" w:cs="Times"/>
    </w:rPr>
  </w:style>
  <w:style w:type="paragraph" w:styleId="ListBullet3">
    <w:name w:val="List Bullet 3"/>
    <w:basedOn w:val="Normal"/>
    <w:autoRedefine/>
    <w:rsid w:val="00355AE7"/>
    <w:pPr>
      <w:numPr>
        <w:numId w:val="3"/>
      </w:numPr>
    </w:pPr>
    <w:rPr>
      <w:rFonts w:ascii="Times" w:hAnsi="Times" w:cs="Times"/>
    </w:rPr>
  </w:style>
  <w:style w:type="paragraph" w:styleId="ListBullet4">
    <w:name w:val="List Bullet 4"/>
    <w:basedOn w:val="Normal"/>
    <w:autoRedefine/>
    <w:rsid w:val="00355AE7"/>
    <w:pPr>
      <w:numPr>
        <w:numId w:val="4"/>
      </w:numPr>
    </w:pPr>
    <w:rPr>
      <w:rFonts w:ascii="Times" w:hAnsi="Times" w:cs="Times"/>
    </w:rPr>
  </w:style>
  <w:style w:type="paragraph" w:styleId="ListBullet5">
    <w:name w:val="List Bullet 5"/>
    <w:basedOn w:val="Normal"/>
    <w:autoRedefine/>
    <w:rsid w:val="00355AE7"/>
    <w:pPr>
      <w:numPr>
        <w:numId w:val="5"/>
      </w:numPr>
    </w:pPr>
    <w:rPr>
      <w:rFonts w:ascii="Times" w:hAnsi="Times" w:cs="Times"/>
    </w:rPr>
  </w:style>
  <w:style w:type="paragraph" w:styleId="ListNumber">
    <w:name w:val="List Number"/>
    <w:basedOn w:val="Normal"/>
    <w:rsid w:val="00355AE7"/>
    <w:pPr>
      <w:numPr>
        <w:numId w:val="6"/>
      </w:numPr>
    </w:pPr>
    <w:rPr>
      <w:rFonts w:ascii="Times" w:hAnsi="Times" w:cs="Times"/>
    </w:rPr>
  </w:style>
  <w:style w:type="paragraph" w:styleId="ListNumber2">
    <w:name w:val="List Number 2"/>
    <w:basedOn w:val="Normal"/>
    <w:rsid w:val="00355AE7"/>
    <w:pPr>
      <w:numPr>
        <w:numId w:val="7"/>
      </w:numPr>
    </w:pPr>
    <w:rPr>
      <w:rFonts w:ascii="Times" w:hAnsi="Times" w:cs="Times"/>
    </w:rPr>
  </w:style>
  <w:style w:type="paragraph" w:styleId="ListNumber3">
    <w:name w:val="List Number 3"/>
    <w:basedOn w:val="Normal"/>
    <w:rsid w:val="00355AE7"/>
    <w:pPr>
      <w:numPr>
        <w:numId w:val="8"/>
      </w:numPr>
    </w:pPr>
    <w:rPr>
      <w:rFonts w:ascii="Times" w:hAnsi="Times" w:cs="Times"/>
    </w:rPr>
  </w:style>
  <w:style w:type="paragraph" w:styleId="ListNumber4">
    <w:name w:val="List Number 4"/>
    <w:basedOn w:val="Normal"/>
    <w:rsid w:val="00355AE7"/>
    <w:pPr>
      <w:numPr>
        <w:numId w:val="9"/>
      </w:numPr>
    </w:pPr>
    <w:rPr>
      <w:rFonts w:ascii="Times" w:hAnsi="Times" w:cs="Times"/>
    </w:rPr>
  </w:style>
  <w:style w:type="paragraph" w:styleId="ListNumber5">
    <w:name w:val="List Number 5"/>
    <w:basedOn w:val="Normal"/>
    <w:rsid w:val="00355AE7"/>
    <w:pPr>
      <w:numPr>
        <w:numId w:val="10"/>
      </w:numPr>
    </w:pPr>
    <w:rPr>
      <w:rFonts w:ascii="Times" w:hAnsi="Times" w:cs="Times"/>
    </w:rPr>
  </w:style>
  <w:style w:type="paragraph" w:customStyle="1" w:styleId="QuickA">
    <w:name w:val="Quick A."/>
    <w:basedOn w:val="Normal"/>
    <w:rsid w:val="00355AE7"/>
    <w:pPr>
      <w:widowControl w:val="0"/>
      <w:numPr>
        <w:numId w:val="14"/>
      </w:numPr>
      <w:tabs>
        <w:tab w:val="clear" w:pos="360"/>
      </w:tabs>
      <w:ind w:left="720" w:hanging="720"/>
    </w:pPr>
  </w:style>
  <w:style w:type="paragraph" w:customStyle="1" w:styleId="ReminderList1">
    <w:name w:val="Reminder List 1"/>
    <w:basedOn w:val="Normal"/>
    <w:rsid w:val="00355AE7"/>
    <w:pPr>
      <w:numPr>
        <w:numId w:val="12"/>
      </w:numPr>
      <w:tabs>
        <w:tab w:val="left" w:pos="360"/>
      </w:tabs>
      <w:spacing w:after="120" w:line="260" w:lineRule="atLeast"/>
      <w:ind w:left="360"/>
    </w:pPr>
    <w:rPr>
      <w:rFonts w:ascii="Helvetica" w:hAnsi="Helvetica" w:cs="Helvetica"/>
      <w:b/>
      <w:bCs/>
      <w:color w:val="000000"/>
      <w:sz w:val="22"/>
      <w:szCs w:val="22"/>
    </w:rPr>
  </w:style>
  <w:style w:type="paragraph" w:customStyle="1" w:styleId="ReminderList2">
    <w:name w:val="Reminder List 2"/>
    <w:basedOn w:val="Normal"/>
    <w:rsid w:val="00355AE7"/>
    <w:pPr>
      <w:tabs>
        <w:tab w:val="left" w:pos="720"/>
        <w:tab w:val="num" w:pos="1800"/>
      </w:tabs>
      <w:spacing w:after="60" w:line="260" w:lineRule="atLeast"/>
      <w:ind w:left="749" w:hanging="360"/>
    </w:pPr>
    <w:rPr>
      <w:rFonts w:ascii="Helvetica" w:hAnsi="Helvetica" w:cs="Helvetica"/>
      <w:color w:val="000000"/>
      <w:sz w:val="22"/>
      <w:szCs w:val="22"/>
    </w:rPr>
  </w:style>
  <w:style w:type="paragraph" w:customStyle="1" w:styleId="ReminderList3">
    <w:name w:val="Reminder List 3"/>
    <w:basedOn w:val="Normal"/>
    <w:rsid w:val="00355AE7"/>
    <w:pPr>
      <w:numPr>
        <w:numId w:val="13"/>
      </w:numPr>
      <w:tabs>
        <w:tab w:val="left" w:pos="1080"/>
      </w:tabs>
      <w:spacing w:after="60"/>
      <w:ind w:left="1080" w:hanging="360"/>
    </w:pPr>
    <w:rPr>
      <w:rFonts w:ascii="Helvetica" w:hAnsi="Helvetica" w:cs="Helvetica"/>
      <w:sz w:val="22"/>
      <w:szCs w:val="22"/>
    </w:rPr>
  </w:style>
  <w:style w:type="paragraph" w:styleId="BodyTextIndent">
    <w:name w:val="Body Text Indent"/>
    <w:basedOn w:val="Normal"/>
    <w:link w:val="BodyTextIndentChar"/>
    <w:rsid w:val="00355AE7"/>
    <w:pPr>
      <w:ind w:left="720"/>
      <w:jc w:val="both"/>
    </w:pPr>
    <w:rPr>
      <w:rFonts w:ascii="Arial" w:hAnsi="Arial" w:cs="Arial"/>
      <w:color w:val="FF0000"/>
      <w:sz w:val="20"/>
      <w:szCs w:val="20"/>
    </w:rPr>
  </w:style>
  <w:style w:type="paragraph" w:styleId="NormalWeb">
    <w:name w:val="Normal (Web)"/>
    <w:basedOn w:val="Normal"/>
    <w:rsid w:val="00355AE7"/>
    <w:pPr>
      <w:autoSpaceDE/>
      <w:autoSpaceDN/>
      <w:spacing w:before="100" w:beforeAutospacing="1" w:after="100" w:afterAutospacing="1"/>
    </w:pPr>
    <w:rPr>
      <w:rFonts w:ascii="Arial" w:eastAsia="Arial Unicode MS" w:hAnsi="Arial"/>
    </w:rPr>
  </w:style>
  <w:style w:type="paragraph" w:styleId="Header">
    <w:name w:val="header"/>
    <w:basedOn w:val="Normal"/>
    <w:rsid w:val="00355AE7"/>
    <w:pPr>
      <w:tabs>
        <w:tab w:val="center" w:pos="4320"/>
        <w:tab w:val="right" w:pos="8640"/>
      </w:tabs>
    </w:pPr>
  </w:style>
  <w:style w:type="paragraph" w:customStyle="1" w:styleId="DataField10pt">
    <w:name w:val="Data Field 10pt"/>
    <w:basedOn w:val="Normal"/>
    <w:rsid w:val="00355AE7"/>
    <w:rPr>
      <w:rFonts w:ascii="Arial" w:hAnsi="Arial" w:cs="Arial"/>
      <w:sz w:val="20"/>
      <w:szCs w:val="20"/>
    </w:rPr>
  </w:style>
  <w:style w:type="paragraph" w:customStyle="1" w:styleId="DataField11pt-Single">
    <w:name w:val="Data Field 11pt-Single"/>
    <w:basedOn w:val="Normal"/>
    <w:link w:val="DataField11pt-SingleChar"/>
    <w:rsid w:val="00CF68A2"/>
    <w:rPr>
      <w:rFonts w:ascii="Arial" w:hAnsi="Arial" w:cs="Arial"/>
      <w:sz w:val="22"/>
      <w:szCs w:val="20"/>
    </w:rPr>
  </w:style>
  <w:style w:type="paragraph" w:styleId="Footer">
    <w:name w:val="footer"/>
    <w:basedOn w:val="Normal"/>
    <w:rsid w:val="00355AE7"/>
    <w:pPr>
      <w:tabs>
        <w:tab w:val="center" w:pos="4320"/>
        <w:tab w:val="right" w:pos="8640"/>
      </w:tabs>
    </w:pPr>
  </w:style>
  <w:style w:type="character" w:styleId="PageNumber">
    <w:name w:val="page number"/>
    <w:basedOn w:val="DefaultParagraphFont"/>
    <w:rsid w:val="00355AE7"/>
    <w:rPr>
      <w:rFonts w:ascii="Arial" w:hAnsi="Arial"/>
      <w:sz w:val="20"/>
      <w:u w:val="single"/>
    </w:rPr>
  </w:style>
  <w:style w:type="paragraph" w:customStyle="1" w:styleId="FormFooter">
    <w:name w:val="Form Footer"/>
    <w:basedOn w:val="Normal"/>
    <w:rsid w:val="00355AE7"/>
    <w:pPr>
      <w:tabs>
        <w:tab w:val="center" w:pos="5328"/>
        <w:tab w:val="right" w:pos="10728"/>
      </w:tabs>
      <w:ind w:left="58"/>
    </w:pPr>
    <w:rPr>
      <w:rFonts w:ascii="Arial" w:hAnsi="Arial" w:cs="Arial"/>
      <w:sz w:val="16"/>
      <w:szCs w:val="16"/>
    </w:rPr>
  </w:style>
  <w:style w:type="paragraph" w:customStyle="1" w:styleId="FormFooterBorder">
    <w:name w:val="FormFooter/Border"/>
    <w:basedOn w:val="Footer"/>
    <w:rsid w:val="00355AE7"/>
    <w:pPr>
      <w:pBdr>
        <w:top w:val="single" w:sz="6" w:space="1" w:color="auto"/>
      </w:pBdr>
      <w:tabs>
        <w:tab w:val="clear" w:pos="4320"/>
        <w:tab w:val="clear" w:pos="8640"/>
        <w:tab w:val="center" w:pos="5400"/>
        <w:tab w:val="right" w:pos="10800"/>
      </w:tabs>
    </w:pPr>
    <w:rPr>
      <w:rFonts w:ascii="Arial" w:hAnsi="Arial" w:cs="Arial"/>
      <w:sz w:val="16"/>
      <w:szCs w:val="16"/>
    </w:rPr>
  </w:style>
  <w:style w:type="paragraph" w:customStyle="1" w:styleId="HeadingNote">
    <w:name w:val="Heading Note"/>
    <w:basedOn w:val="Normal"/>
    <w:rsid w:val="00355AE7"/>
    <w:pPr>
      <w:spacing w:before="40" w:after="40"/>
      <w:jc w:val="center"/>
    </w:pPr>
    <w:rPr>
      <w:rFonts w:ascii="Arial" w:hAnsi="Arial" w:cs="Arial"/>
      <w:i/>
      <w:iCs/>
      <w:sz w:val="16"/>
      <w:szCs w:val="16"/>
    </w:rPr>
  </w:style>
  <w:style w:type="paragraph" w:customStyle="1" w:styleId="NameofApplicant">
    <w:name w:val="Name of Applicant"/>
    <w:basedOn w:val="Normal"/>
    <w:rsid w:val="00355AE7"/>
    <w:rPr>
      <w:rFonts w:ascii="Arial" w:hAnsi="Arial" w:cs="Arial"/>
      <w:sz w:val="16"/>
      <w:szCs w:val="15"/>
    </w:rPr>
  </w:style>
  <w:style w:type="paragraph" w:customStyle="1" w:styleId="Arial10BoldText">
    <w:name w:val="Arial10BoldText"/>
    <w:basedOn w:val="Normal"/>
    <w:rsid w:val="00355AE7"/>
    <w:pPr>
      <w:spacing w:before="20" w:after="20"/>
    </w:pPr>
    <w:rPr>
      <w:rFonts w:ascii="Arial" w:hAnsi="Arial" w:cs="Arial"/>
      <w:b/>
      <w:bCs/>
      <w:sz w:val="20"/>
      <w:szCs w:val="20"/>
    </w:rPr>
  </w:style>
  <w:style w:type="paragraph" w:customStyle="1" w:styleId="FormFieldCaption">
    <w:name w:val="Form Field Caption"/>
    <w:basedOn w:val="Normal"/>
    <w:rsid w:val="00355AE7"/>
    <w:pPr>
      <w:tabs>
        <w:tab w:val="left" w:pos="270"/>
      </w:tabs>
    </w:pPr>
    <w:rPr>
      <w:rFonts w:ascii="Arial" w:hAnsi="Arial" w:cs="Arial"/>
      <w:sz w:val="16"/>
      <w:szCs w:val="16"/>
    </w:rPr>
  </w:style>
  <w:style w:type="paragraph" w:customStyle="1" w:styleId="FormFieldCaption7pt">
    <w:name w:val="Form Field Caption 7pt"/>
    <w:basedOn w:val="Normal"/>
    <w:rsid w:val="00355AE7"/>
    <w:pPr>
      <w:tabs>
        <w:tab w:val="left" w:pos="252"/>
      </w:tabs>
    </w:pPr>
    <w:rPr>
      <w:rFonts w:ascii="Arial" w:hAnsi="Arial" w:cs="Arial"/>
      <w:sz w:val="14"/>
      <w:szCs w:val="14"/>
    </w:rPr>
  </w:style>
  <w:style w:type="paragraph" w:customStyle="1" w:styleId="PIHeader">
    <w:name w:val="PI Header"/>
    <w:basedOn w:val="Normal"/>
    <w:rsid w:val="00355AE7"/>
    <w:pPr>
      <w:spacing w:after="40"/>
      <w:ind w:left="864"/>
    </w:pPr>
    <w:rPr>
      <w:rFonts w:ascii="Arial" w:hAnsi="Arial" w:cs="Arial"/>
      <w:noProof/>
      <w:sz w:val="16"/>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paragraph" w:customStyle="1" w:styleId="HeadNoteNotItalics">
    <w:name w:val="HeadNoteNotItalics"/>
    <w:basedOn w:val="HeadingNote"/>
    <w:rsid w:val="00355AE7"/>
    <w:rPr>
      <w:i w:val="0"/>
    </w:rPr>
  </w:style>
  <w:style w:type="paragraph" w:styleId="Subtitle">
    <w:name w:val="Subtitle"/>
    <w:basedOn w:val="Normal"/>
    <w:next w:val="Normal"/>
    <w:link w:val="SubtitleChar"/>
    <w:qFormat/>
    <w:rsid w:val="000A7DAD"/>
    <w:pPr>
      <w:keepNext/>
      <w:spacing w:before="360" w:after="120"/>
      <w:outlineLvl w:val="1"/>
    </w:pPr>
    <w:rPr>
      <w:rFonts w:ascii="Arial" w:hAnsi="Arial"/>
      <w:b/>
      <w:sz w:val="22"/>
    </w:rPr>
  </w:style>
  <w:style w:type="character" w:customStyle="1" w:styleId="SubtitleChar">
    <w:name w:val="Subtitle Char"/>
    <w:basedOn w:val="DefaultParagraphFont"/>
    <w:link w:val="Subtitle"/>
    <w:rsid w:val="000A7DAD"/>
    <w:rPr>
      <w:rFonts w:ascii="Arial" w:hAnsi="Arial"/>
      <w:b/>
      <w:sz w:val="22"/>
      <w:szCs w:val="24"/>
      <w:lang w:val="en-US" w:eastAsia="en-US" w:bidi="ar-SA"/>
    </w:rPr>
  </w:style>
  <w:style w:type="paragraph" w:customStyle="1" w:styleId="Subtitle2">
    <w:name w:val="Subtitle 2"/>
    <w:basedOn w:val="Subtitle"/>
    <w:rsid w:val="000A7DAD"/>
    <w:pPr>
      <w:spacing w:before="240" w:after="0"/>
    </w:pPr>
    <w:rPr>
      <w:bCs/>
      <w:szCs w:val="20"/>
      <w:u w:val="single"/>
    </w:rPr>
  </w:style>
  <w:style w:type="paragraph" w:styleId="BodyTextIndent3">
    <w:name w:val="Body Text Indent 3"/>
    <w:basedOn w:val="Normal"/>
    <w:rsid w:val="001C54D2"/>
    <w:pPr>
      <w:spacing w:after="120"/>
      <w:ind w:left="360"/>
    </w:pPr>
    <w:rPr>
      <w:sz w:val="16"/>
      <w:szCs w:val="16"/>
    </w:rPr>
  </w:style>
  <w:style w:type="character" w:customStyle="1" w:styleId="clsstaticdata1">
    <w:name w:val="clsstaticdata1"/>
    <w:basedOn w:val="DefaultParagraphFont"/>
    <w:rsid w:val="00503D49"/>
    <w:rPr>
      <w:rFonts w:ascii="Arial" w:hAnsi="Arial" w:cs="Arial" w:hint="default"/>
      <w:color w:val="000000"/>
      <w:sz w:val="18"/>
      <w:szCs w:val="18"/>
    </w:rPr>
  </w:style>
  <w:style w:type="character" w:customStyle="1" w:styleId="volume">
    <w:name w:val="volume"/>
    <w:basedOn w:val="DefaultParagraphFont"/>
    <w:rsid w:val="00E04F04"/>
  </w:style>
  <w:style w:type="character" w:customStyle="1" w:styleId="issue">
    <w:name w:val="issue"/>
    <w:basedOn w:val="DefaultParagraphFont"/>
    <w:rsid w:val="00E04F04"/>
  </w:style>
  <w:style w:type="character" w:customStyle="1" w:styleId="pages">
    <w:name w:val="pages"/>
    <w:basedOn w:val="DefaultParagraphFont"/>
    <w:rsid w:val="00E04F04"/>
  </w:style>
  <w:style w:type="character" w:customStyle="1" w:styleId="ti2">
    <w:name w:val="ti2"/>
    <w:basedOn w:val="DefaultParagraphFont"/>
    <w:rsid w:val="00E04F04"/>
    <w:rPr>
      <w:sz w:val="22"/>
      <w:szCs w:val="22"/>
    </w:rPr>
  </w:style>
  <w:style w:type="paragraph" w:customStyle="1" w:styleId="authors1">
    <w:name w:val="authors1"/>
    <w:basedOn w:val="Normal"/>
    <w:rsid w:val="00E04F04"/>
    <w:pPr>
      <w:autoSpaceDE/>
      <w:autoSpaceDN/>
      <w:spacing w:before="72" w:line="240" w:lineRule="atLeast"/>
      <w:ind w:left="825"/>
    </w:pPr>
    <w:rPr>
      <w:sz w:val="22"/>
      <w:szCs w:val="22"/>
    </w:rPr>
  </w:style>
  <w:style w:type="character" w:customStyle="1" w:styleId="journalname">
    <w:name w:val="journalname"/>
    <w:basedOn w:val="DefaultParagraphFont"/>
    <w:rsid w:val="0034596E"/>
  </w:style>
  <w:style w:type="character" w:styleId="Hyperlink">
    <w:name w:val="Hyperlink"/>
    <w:basedOn w:val="DefaultParagraphFont"/>
    <w:rsid w:val="0034596E"/>
    <w:rPr>
      <w:color w:val="0000FF"/>
      <w:u w:val="single"/>
    </w:rPr>
  </w:style>
  <w:style w:type="character" w:customStyle="1" w:styleId="c32c1vzp1s1">
    <w:name w:val="c32_c1vzp1s1"/>
    <w:basedOn w:val="DefaultParagraphFont"/>
    <w:rsid w:val="0034596E"/>
  </w:style>
  <w:style w:type="paragraph" w:styleId="BodyText3">
    <w:name w:val="Body Text 3"/>
    <w:basedOn w:val="Normal"/>
    <w:link w:val="BodyText3Char"/>
    <w:rsid w:val="0034596E"/>
    <w:pPr>
      <w:spacing w:after="120"/>
    </w:pPr>
    <w:rPr>
      <w:sz w:val="16"/>
      <w:szCs w:val="16"/>
    </w:rPr>
  </w:style>
  <w:style w:type="character" w:customStyle="1" w:styleId="ti">
    <w:name w:val="ti"/>
    <w:basedOn w:val="DefaultParagraphFont"/>
    <w:rsid w:val="0034596E"/>
  </w:style>
  <w:style w:type="character" w:customStyle="1" w:styleId="src">
    <w:name w:val="src"/>
    <w:basedOn w:val="DefaultParagraphFont"/>
    <w:rsid w:val="0060113B"/>
  </w:style>
  <w:style w:type="character" w:customStyle="1" w:styleId="jrnl">
    <w:name w:val="jrnl"/>
    <w:basedOn w:val="DefaultParagraphFont"/>
    <w:rsid w:val="0060113B"/>
  </w:style>
  <w:style w:type="paragraph" w:customStyle="1" w:styleId="citation">
    <w:name w:val="citation"/>
    <w:basedOn w:val="Normal"/>
    <w:uiPriority w:val="99"/>
    <w:rsid w:val="005A497A"/>
    <w:pPr>
      <w:autoSpaceDE/>
      <w:autoSpaceDN/>
      <w:spacing w:before="100" w:beforeAutospacing="1" w:after="100" w:afterAutospacing="1"/>
    </w:pPr>
    <w:rPr>
      <w:rFonts w:eastAsia="Calibri"/>
    </w:rPr>
  </w:style>
  <w:style w:type="character" w:customStyle="1" w:styleId="arttitle1">
    <w:name w:val="arttitle1"/>
    <w:basedOn w:val="DefaultParagraphFont"/>
    <w:rsid w:val="005A497A"/>
    <w:rPr>
      <w:b/>
      <w:bCs/>
      <w:sz w:val="20"/>
      <w:szCs w:val="20"/>
    </w:rPr>
  </w:style>
  <w:style w:type="character" w:customStyle="1" w:styleId="src1">
    <w:name w:val="src1"/>
    <w:basedOn w:val="DefaultParagraphFont"/>
    <w:rsid w:val="002D0B9E"/>
    <w:rPr>
      <w:vanish w:val="0"/>
      <w:webHidden w:val="0"/>
      <w:specVanish w:val="0"/>
    </w:rPr>
  </w:style>
  <w:style w:type="paragraph" w:styleId="PlainText">
    <w:name w:val="Plain Text"/>
    <w:basedOn w:val="Normal"/>
    <w:link w:val="PlainTextChar"/>
    <w:uiPriority w:val="99"/>
    <w:unhideWhenUsed/>
    <w:rsid w:val="00BC0BB0"/>
    <w:pPr>
      <w:autoSpaceDE/>
      <w:autoSpaceDN/>
    </w:pPr>
    <w:rPr>
      <w:rFonts w:ascii="Consolas" w:eastAsia="Calibri" w:hAnsi="Consolas"/>
      <w:sz w:val="21"/>
      <w:szCs w:val="21"/>
    </w:rPr>
  </w:style>
  <w:style w:type="character" w:customStyle="1" w:styleId="PlainTextChar">
    <w:name w:val="Plain Text Char"/>
    <w:basedOn w:val="DefaultParagraphFont"/>
    <w:link w:val="PlainText"/>
    <w:uiPriority w:val="99"/>
    <w:rsid w:val="00BC0BB0"/>
    <w:rPr>
      <w:rFonts w:ascii="Consolas" w:eastAsia="Calibri" w:hAnsi="Consolas"/>
      <w:sz w:val="21"/>
      <w:szCs w:val="21"/>
    </w:rPr>
  </w:style>
  <w:style w:type="character" w:customStyle="1" w:styleId="toc-cit-date">
    <w:name w:val="toc-cit-date"/>
    <w:basedOn w:val="DefaultParagraphFont"/>
    <w:rsid w:val="005F41C9"/>
  </w:style>
  <w:style w:type="character" w:customStyle="1" w:styleId="toc-cit-vol">
    <w:name w:val="toc-cit-vol"/>
    <w:basedOn w:val="DefaultParagraphFont"/>
    <w:rsid w:val="005F41C9"/>
  </w:style>
  <w:style w:type="character" w:customStyle="1" w:styleId="toc-cit-page">
    <w:name w:val="toc-cit-page"/>
    <w:basedOn w:val="DefaultParagraphFont"/>
    <w:rsid w:val="005F41C9"/>
  </w:style>
  <w:style w:type="character" w:customStyle="1" w:styleId="BodyText3Char">
    <w:name w:val="Body Text 3 Char"/>
    <w:basedOn w:val="DefaultParagraphFont"/>
    <w:link w:val="BodyText3"/>
    <w:rsid w:val="00923B58"/>
    <w:rPr>
      <w:sz w:val="16"/>
      <w:szCs w:val="16"/>
    </w:rPr>
  </w:style>
  <w:style w:type="paragraph" w:styleId="ListParagraph">
    <w:name w:val="List Paragraph"/>
    <w:basedOn w:val="Normal"/>
    <w:uiPriority w:val="34"/>
    <w:qFormat/>
    <w:rsid w:val="002216FB"/>
    <w:pPr>
      <w:ind w:left="720"/>
      <w:contextualSpacing/>
    </w:pPr>
  </w:style>
  <w:style w:type="paragraph" w:styleId="BalloonText">
    <w:name w:val="Balloon Text"/>
    <w:basedOn w:val="Normal"/>
    <w:link w:val="BalloonTextChar"/>
    <w:rsid w:val="00410BFE"/>
    <w:rPr>
      <w:rFonts w:ascii="Tahoma" w:hAnsi="Tahoma" w:cs="Tahoma"/>
      <w:sz w:val="16"/>
      <w:szCs w:val="16"/>
    </w:rPr>
  </w:style>
  <w:style w:type="character" w:customStyle="1" w:styleId="BalloonTextChar">
    <w:name w:val="Balloon Text Char"/>
    <w:basedOn w:val="DefaultParagraphFont"/>
    <w:link w:val="BalloonText"/>
    <w:rsid w:val="00410BFE"/>
    <w:rPr>
      <w:rFonts w:ascii="Tahoma" w:hAnsi="Tahoma" w:cs="Tahoma"/>
      <w:sz w:val="16"/>
      <w:szCs w:val="16"/>
    </w:rPr>
  </w:style>
  <w:style w:type="character" w:customStyle="1" w:styleId="BodyTextIndentChar">
    <w:name w:val="Body Text Indent Char"/>
    <w:basedOn w:val="DefaultParagraphFont"/>
    <w:link w:val="BodyTextIndent"/>
    <w:rsid w:val="005A4F42"/>
    <w:rPr>
      <w:rFonts w:ascii="Arial" w:hAnsi="Arial" w:cs="Arial"/>
      <w:color w:val="FF0000"/>
    </w:rPr>
  </w:style>
  <w:style w:type="character" w:styleId="Strong">
    <w:name w:val="Strong"/>
    <w:basedOn w:val="DefaultParagraphFont"/>
    <w:qFormat/>
    <w:rsid w:val="00870F9E"/>
    <w:rPr>
      <w:b/>
      <w:bCs/>
    </w:rPr>
  </w:style>
  <w:style w:type="paragraph" w:customStyle="1" w:styleId="EndNoteBibliographyTitle">
    <w:name w:val="EndNote Bibliography Title"/>
    <w:basedOn w:val="Normal"/>
    <w:link w:val="EndNoteBibliographyTitleChar"/>
    <w:rsid w:val="00132D31"/>
    <w:pPr>
      <w:jc w:val="center"/>
    </w:pPr>
    <w:rPr>
      <w:rFonts w:ascii="Arial" w:hAnsi="Arial" w:cs="Arial"/>
      <w:noProof/>
      <w:sz w:val="18"/>
    </w:rPr>
  </w:style>
  <w:style w:type="character" w:customStyle="1" w:styleId="EndNoteBibliographyTitleChar">
    <w:name w:val="EndNote Bibliography Title Char"/>
    <w:basedOn w:val="DataField11pt-SingleChar"/>
    <w:link w:val="EndNoteBibliographyTitle"/>
    <w:rsid w:val="00132D31"/>
    <w:rPr>
      <w:rFonts w:ascii="Arial" w:hAnsi="Arial" w:cs="Arial"/>
      <w:noProof/>
      <w:sz w:val="18"/>
      <w:szCs w:val="24"/>
      <w:lang w:val="en-US" w:eastAsia="en-US" w:bidi="ar-SA"/>
    </w:rPr>
  </w:style>
  <w:style w:type="paragraph" w:customStyle="1" w:styleId="EndNoteBibliography">
    <w:name w:val="EndNote Bibliography"/>
    <w:basedOn w:val="Normal"/>
    <w:link w:val="EndNoteBibliographyChar"/>
    <w:rsid w:val="00132D31"/>
    <w:pPr>
      <w:jc w:val="both"/>
    </w:pPr>
    <w:rPr>
      <w:rFonts w:ascii="Arial" w:hAnsi="Arial" w:cs="Arial"/>
      <w:noProof/>
      <w:sz w:val="18"/>
    </w:rPr>
  </w:style>
  <w:style w:type="character" w:customStyle="1" w:styleId="EndNoteBibliographyChar">
    <w:name w:val="EndNote Bibliography Char"/>
    <w:basedOn w:val="DataField11pt-SingleChar"/>
    <w:link w:val="EndNoteBibliography"/>
    <w:rsid w:val="00132D31"/>
    <w:rPr>
      <w:rFonts w:ascii="Arial" w:hAnsi="Arial" w:cs="Arial"/>
      <w:noProof/>
      <w:sz w:val="18"/>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7291">
      <w:bodyDiv w:val="1"/>
      <w:marLeft w:val="0"/>
      <w:marRight w:val="0"/>
      <w:marTop w:val="0"/>
      <w:marBottom w:val="0"/>
      <w:divBdr>
        <w:top w:val="none" w:sz="0" w:space="0" w:color="auto"/>
        <w:left w:val="none" w:sz="0" w:space="0" w:color="auto"/>
        <w:bottom w:val="none" w:sz="0" w:space="0" w:color="auto"/>
        <w:right w:val="none" w:sz="0" w:space="0" w:color="auto"/>
      </w:divBdr>
      <w:divsChild>
        <w:div w:id="835611492">
          <w:marLeft w:val="0"/>
          <w:marRight w:val="0"/>
          <w:marTop w:val="0"/>
          <w:marBottom w:val="0"/>
          <w:divBdr>
            <w:top w:val="none" w:sz="0" w:space="0" w:color="auto"/>
            <w:left w:val="none" w:sz="0" w:space="0" w:color="auto"/>
            <w:bottom w:val="none" w:sz="0" w:space="0" w:color="auto"/>
            <w:right w:val="none" w:sz="0" w:space="0" w:color="auto"/>
          </w:divBdr>
          <w:divsChild>
            <w:div w:id="1028797585">
              <w:marLeft w:val="0"/>
              <w:marRight w:val="0"/>
              <w:marTop w:val="0"/>
              <w:marBottom w:val="0"/>
              <w:divBdr>
                <w:top w:val="none" w:sz="0" w:space="0" w:color="auto"/>
                <w:left w:val="none" w:sz="0" w:space="0" w:color="auto"/>
                <w:bottom w:val="none" w:sz="0" w:space="0" w:color="auto"/>
                <w:right w:val="none" w:sz="0" w:space="0" w:color="auto"/>
              </w:divBdr>
              <w:divsChild>
                <w:div w:id="1369450160">
                  <w:marLeft w:val="0"/>
                  <w:marRight w:val="0"/>
                  <w:marTop w:val="0"/>
                  <w:marBottom w:val="0"/>
                  <w:divBdr>
                    <w:top w:val="none" w:sz="0" w:space="0" w:color="auto"/>
                    <w:left w:val="none" w:sz="0" w:space="0" w:color="auto"/>
                    <w:bottom w:val="none" w:sz="0" w:space="0" w:color="auto"/>
                    <w:right w:val="none" w:sz="0" w:space="0" w:color="auto"/>
                  </w:divBdr>
                  <w:divsChild>
                    <w:div w:id="652022817">
                      <w:marLeft w:val="0"/>
                      <w:marRight w:val="0"/>
                      <w:marTop w:val="0"/>
                      <w:marBottom w:val="0"/>
                      <w:divBdr>
                        <w:top w:val="none" w:sz="0" w:space="0" w:color="auto"/>
                        <w:left w:val="none" w:sz="0" w:space="0" w:color="auto"/>
                        <w:bottom w:val="none" w:sz="0" w:space="0" w:color="auto"/>
                        <w:right w:val="none" w:sz="0" w:space="0" w:color="auto"/>
                      </w:divBdr>
                      <w:divsChild>
                        <w:div w:id="35280072">
                          <w:marLeft w:val="0"/>
                          <w:marRight w:val="0"/>
                          <w:marTop w:val="0"/>
                          <w:marBottom w:val="0"/>
                          <w:divBdr>
                            <w:top w:val="none" w:sz="0" w:space="0" w:color="auto"/>
                            <w:left w:val="none" w:sz="0" w:space="0" w:color="auto"/>
                            <w:bottom w:val="none" w:sz="0" w:space="0" w:color="auto"/>
                            <w:right w:val="none" w:sz="0" w:space="0" w:color="auto"/>
                          </w:divBdr>
                          <w:divsChild>
                            <w:div w:id="1517380184">
                              <w:marLeft w:val="0"/>
                              <w:marRight w:val="0"/>
                              <w:marTop w:val="0"/>
                              <w:marBottom w:val="0"/>
                              <w:divBdr>
                                <w:top w:val="none" w:sz="0" w:space="0" w:color="auto"/>
                                <w:left w:val="none" w:sz="0" w:space="0" w:color="auto"/>
                                <w:bottom w:val="none" w:sz="0" w:space="0" w:color="auto"/>
                                <w:right w:val="none" w:sz="0" w:space="0" w:color="auto"/>
                              </w:divBdr>
                              <w:divsChild>
                                <w:div w:id="1887257137">
                                  <w:marLeft w:val="0"/>
                                  <w:marRight w:val="0"/>
                                  <w:marTop w:val="0"/>
                                  <w:marBottom w:val="0"/>
                                  <w:divBdr>
                                    <w:top w:val="none" w:sz="0" w:space="0" w:color="auto"/>
                                    <w:left w:val="none" w:sz="0" w:space="0" w:color="auto"/>
                                    <w:bottom w:val="none" w:sz="0" w:space="0" w:color="auto"/>
                                    <w:right w:val="none" w:sz="0" w:space="0" w:color="auto"/>
                                  </w:divBdr>
                                  <w:divsChild>
                                    <w:div w:id="5654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790329">
      <w:bodyDiv w:val="1"/>
      <w:marLeft w:val="0"/>
      <w:marRight w:val="0"/>
      <w:marTop w:val="0"/>
      <w:marBottom w:val="0"/>
      <w:divBdr>
        <w:top w:val="none" w:sz="0" w:space="0" w:color="auto"/>
        <w:left w:val="none" w:sz="0" w:space="0" w:color="auto"/>
        <w:bottom w:val="none" w:sz="0" w:space="0" w:color="auto"/>
        <w:right w:val="none" w:sz="0" w:space="0" w:color="auto"/>
      </w:divBdr>
    </w:div>
    <w:div w:id="622079164">
      <w:bodyDiv w:val="1"/>
      <w:marLeft w:val="0"/>
      <w:marRight w:val="0"/>
      <w:marTop w:val="0"/>
      <w:marBottom w:val="0"/>
      <w:divBdr>
        <w:top w:val="none" w:sz="0" w:space="0" w:color="auto"/>
        <w:left w:val="none" w:sz="0" w:space="0" w:color="auto"/>
        <w:bottom w:val="none" w:sz="0" w:space="0" w:color="auto"/>
        <w:right w:val="none" w:sz="0" w:space="0" w:color="auto"/>
      </w:divBdr>
      <w:divsChild>
        <w:div w:id="512693851">
          <w:marLeft w:val="0"/>
          <w:marRight w:val="0"/>
          <w:marTop w:val="0"/>
          <w:marBottom w:val="0"/>
          <w:divBdr>
            <w:top w:val="none" w:sz="0" w:space="0" w:color="auto"/>
            <w:left w:val="none" w:sz="0" w:space="0" w:color="auto"/>
            <w:bottom w:val="none" w:sz="0" w:space="0" w:color="auto"/>
            <w:right w:val="none" w:sz="0" w:space="0" w:color="auto"/>
          </w:divBdr>
          <w:divsChild>
            <w:div w:id="1889030000">
              <w:marLeft w:val="120"/>
              <w:marRight w:val="0"/>
              <w:marTop w:val="0"/>
              <w:marBottom w:val="0"/>
              <w:divBdr>
                <w:top w:val="none" w:sz="0" w:space="0" w:color="auto"/>
                <w:left w:val="none" w:sz="0" w:space="0" w:color="auto"/>
                <w:bottom w:val="none" w:sz="0" w:space="0" w:color="auto"/>
                <w:right w:val="none" w:sz="0" w:space="0" w:color="auto"/>
              </w:divBdr>
              <w:divsChild>
                <w:div w:id="1103914027">
                  <w:marLeft w:val="0"/>
                  <w:marRight w:val="0"/>
                  <w:marTop w:val="0"/>
                  <w:marBottom w:val="0"/>
                  <w:divBdr>
                    <w:top w:val="none" w:sz="0" w:space="0" w:color="auto"/>
                    <w:left w:val="none" w:sz="0" w:space="0" w:color="auto"/>
                    <w:bottom w:val="none" w:sz="0" w:space="0" w:color="auto"/>
                    <w:right w:val="none" w:sz="0" w:space="0" w:color="auto"/>
                  </w:divBdr>
                  <w:divsChild>
                    <w:div w:id="1525753000">
                      <w:marLeft w:val="0"/>
                      <w:marRight w:val="0"/>
                      <w:marTop w:val="0"/>
                      <w:marBottom w:val="0"/>
                      <w:divBdr>
                        <w:top w:val="none" w:sz="0" w:space="0" w:color="auto"/>
                        <w:left w:val="none" w:sz="0" w:space="0" w:color="auto"/>
                        <w:bottom w:val="none" w:sz="0" w:space="0" w:color="auto"/>
                        <w:right w:val="none" w:sz="0" w:space="0" w:color="auto"/>
                      </w:divBdr>
                      <w:divsChild>
                        <w:div w:id="670058887">
                          <w:marLeft w:val="0"/>
                          <w:marRight w:val="0"/>
                          <w:marTop w:val="0"/>
                          <w:marBottom w:val="0"/>
                          <w:divBdr>
                            <w:top w:val="none" w:sz="0" w:space="0" w:color="auto"/>
                            <w:left w:val="none" w:sz="0" w:space="0" w:color="auto"/>
                            <w:bottom w:val="none" w:sz="0" w:space="0" w:color="auto"/>
                            <w:right w:val="none" w:sz="0" w:space="0" w:color="auto"/>
                          </w:divBdr>
                          <w:divsChild>
                            <w:div w:id="610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693320">
      <w:bodyDiv w:val="1"/>
      <w:marLeft w:val="0"/>
      <w:marRight w:val="0"/>
      <w:marTop w:val="0"/>
      <w:marBottom w:val="0"/>
      <w:divBdr>
        <w:top w:val="none" w:sz="0" w:space="0" w:color="auto"/>
        <w:left w:val="none" w:sz="0" w:space="0" w:color="auto"/>
        <w:bottom w:val="none" w:sz="0" w:space="0" w:color="auto"/>
        <w:right w:val="none" w:sz="0" w:space="0" w:color="auto"/>
      </w:divBdr>
      <w:divsChild>
        <w:div w:id="1013260545">
          <w:marLeft w:val="0"/>
          <w:marRight w:val="0"/>
          <w:marTop w:val="0"/>
          <w:marBottom w:val="0"/>
          <w:divBdr>
            <w:top w:val="none" w:sz="0" w:space="0" w:color="auto"/>
            <w:left w:val="none" w:sz="0" w:space="0" w:color="auto"/>
            <w:bottom w:val="none" w:sz="0" w:space="0" w:color="auto"/>
            <w:right w:val="none" w:sz="0" w:space="0" w:color="auto"/>
          </w:divBdr>
          <w:divsChild>
            <w:div w:id="1085566084">
              <w:marLeft w:val="120"/>
              <w:marRight w:val="0"/>
              <w:marTop w:val="0"/>
              <w:marBottom w:val="0"/>
              <w:divBdr>
                <w:top w:val="none" w:sz="0" w:space="0" w:color="auto"/>
                <w:left w:val="none" w:sz="0" w:space="0" w:color="auto"/>
                <w:bottom w:val="none" w:sz="0" w:space="0" w:color="auto"/>
                <w:right w:val="none" w:sz="0" w:space="0" w:color="auto"/>
              </w:divBdr>
              <w:divsChild>
                <w:div w:id="1291594403">
                  <w:marLeft w:val="0"/>
                  <w:marRight w:val="0"/>
                  <w:marTop w:val="0"/>
                  <w:marBottom w:val="0"/>
                  <w:divBdr>
                    <w:top w:val="none" w:sz="0" w:space="0" w:color="auto"/>
                    <w:left w:val="none" w:sz="0" w:space="0" w:color="auto"/>
                    <w:bottom w:val="none" w:sz="0" w:space="0" w:color="auto"/>
                    <w:right w:val="none" w:sz="0" w:space="0" w:color="auto"/>
                  </w:divBdr>
                  <w:divsChild>
                    <w:div w:id="566307505">
                      <w:marLeft w:val="0"/>
                      <w:marRight w:val="0"/>
                      <w:marTop w:val="0"/>
                      <w:marBottom w:val="0"/>
                      <w:divBdr>
                        <w:top w:val="none" w:sz="0" w:space="0" w:color="auto"/>
                        <w:left w:val="none" w:sz="0" w:space="0" w:color="auto"/>
                        <w:bottom w:val="none" w:sz="0" w:space="0" w:color="auto"/>
                        <w:right w:val="none" w:sz="0" w:space="0" w:color="auto"/>
                      </w:divBdr>
                      <w:divsChild>
                        <w:div w:id="1095441124">
                          <w:marLeft w:val="0"/>
                          <w:marRight w:val="0"/>
                          <w:marTop w:val="0"/>
                          <w:marBottom w:val="0"/>
                          <w:divBdr>
                            <w:top w:val="none" w:sz="0" w:space="0" w:color="auto"/>
                            <w:left w:val="none" w:sz="0" w:space="0" w:color="auto"/>
                            <w:bottom w:val="none" w:sz="0" w:space="0" w:color="auto"/>
                            <w:right w:val="none" w:sz="0" w:space="0" w:color="auto"/>
                          </w:divBdr>
                          <w:divsChild>
                            <w:div w:id="136440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952753">
      <w:bodyDiv w:val="1"/>
      <w:marLeft w:val="0"/>
      <w:marRight w:val="0"/>
      <w:marTop w:val="0"/>
      <w:marBottom w:val="0"/>
      <w:divBdr>
        <w:top w:val="none" w:sz="0" w:space="0" w:color="auto"/>
        <w:left w:val="none" w:sz="0" w:space="0" w:color="auto"/>
        <w:bottom w:val="none" w:sz="0" w:space="0" w:color="auto"/>
        <w:right w:val="none" w:sz="0" w:space="0" w:color="auto"/>
      </w:divBdr>
      <w:divsChild>
        <w:div w:id="773406581">
          <w:marLeft w:val="0"/>
          <w:marRight w:val="0"/>
          <w:marTop w:val="0"/>
          <w:marBottom w:val="0"/>
          <w:divBdr>
            <w:top w:val="none" w:sz="0" w:space="0" w:color="auto"/>
            <w:left w:val="none" w:sz="0" w:space="0" w:color="auto"/>
            <w:bottom w:val="none" w:sz="0" w:space="0" w:color="auto"/>
            <w:right w:val="none" w:sz="0" w:space="0" w:color="auto"/>
          </w:divBdr>
          <w:divsChild>
            <w:div w:id="292641933">
              <w:marLeft w:val="0"/>
              <w:marRight w:val="0"/>
              <w:marTop w:val="0"/>
              <w:marBottom w:val="0"/>
              <w:divBdr>
                <w:top w:val="none" w:sz="0" w:space="0" w:color="auto"/>
                <w:left w:val="none" w:sz="0" w:space="0" w:color="auto"/>
                <w:bottom w:val="none" w:sz="0" w:space="0" w:color="auto"/>
                <w:right w:val="none" w:sz="0" w:space="0" w:color="auto"/>
              </w:divBdr>
              <w:divsChild>
                <w:div w:id="61606276">
                  <w:marLeft w:val="0"/>
                  <w:marRight w:val="0"/>
                  <w:marTop w:val="0"/>
                  <w:marBottom w:val="0"/>
                  <w:divBdr>
                    <w:top w:val="none" w:sz="0" w:space="0" w:color="auto"/>
                    <w:left w:val="none" w:sz="0" w:space="0" w:color="auto"/>
                    <w:bottom w:val="none" w:sz="0" w:space="0" w:color="auto"/>
                    <w:right w:val="none" w:sz="0" w:space="0" w:color="auto"/>
                  </w:divBdr>
                  <w:divsChild>
                    <w:div w:id="232475136">
                      <w:marLeft w:val="0"/>
                      <w:marRight w:val="0"/>
                      <w:marTop w:val="0"/>
                      <w:marBottom w:val="0"/>
                      <w:divBdr>
                        <w:top w:val="none" w:sz="0" w:space="0" w:color="auto"/>
                        <w:left w:val="none" w:sz="0" w:space="0" w:color="auto"/>
                        <w:bottom w:val="none" w:sz="0" w:space="0" w:color="auto"/>
                        <w:right w:val="none" w:sz="0" w:space="0" w:color="auto"/>
                      </w:divBdr>
                      <w:divsChild>
                        <w:div w:id="1212813350">
                          <w:marLeft w:val="0"/>
                          <w:marRight w:val="0"/>
                          <w:marTop w:val="0"/>
                          <w:marBottom w:val="0"/>
                          <w:divBdr>
                            <w:top w:val="none" w:sz="0" w:space="0" w:color="auto"/>
                            <w:left w:val="none" w:sz="0" w:space="0" w:color="auto"/>
                            <w:bottom w:val="none" w:sz="0" w:space="0" w:color="auto"/>
                            <w:right w:val="none" w:sz="0" w:space="0" w:color="auto"/>
                          </w:divBdr>
                          <w:divsChild>
                            <w:div w:id="907112561">
                              <w:marLeft w:val="0"/>
                              <w:marRight w:val="0"/>
                              <w:marTop w:val="0"/>
                              <w:marBottom w:val="0"/>
                              <w:divBdr>
                                <w:top w:val="none" w:sz="0" w:space="0" w:color="auto"/>
                                <w:left w:val="none" w:sz="0" w:space="0" w:color="auto"/>
                                <w:bottom w:val="none" w:sz="0" w:space="0" w:color="auto"/>
                                <w:right w:val="none" w:sz="0" w:space="0" w:color="auto"/>
                              </w:divBdr>
                              <w:divsChild>
                                <w:div w:id="1259216246">
                                  <w:marLeft w:val="0"/>
                                  <w:marRight w:val="0"/>
                                  <w:marTop w:val="0"/>
                                  <w:marBottom w:val="0"/>
                                  <w:divBdr>
                                    <w:top w:val="none" w:sz="0" w:space="0" w:color="auto"/>
                                    <w:left w:val="none" w:sz="0" w:space="0" w:color="auto"/>
                                    <w:bottom w:val="none" w:sz="0" w:space="0" w:color="auto"/>
                                    <w:right w:val="none" w:sz="0" w:space="0" w:color="auto"/>
                                  </w:divBdr>
                                  <w:divsChild>
                                    <w:div w:id="2069183354">
                                      <w:marLeft w:val="0"/>
                                      <w:marRight w:val="0"/>
                                      <w:marTop w:val="0"/>
                                      <w:marBottom w:val="0"/>
                                      <w:divBdr>
                                        <w:top w:val="none" w:sz="0" w:space="0" w:color="auto"/>
                                        <w:left w:val="none" w:sz="0" w:space="0" w:color="auto"/>
                                        <w:bottom w:val="none" w:sz="0" w:space="0" w:color="auto"/>
                                        <w:right w:val="none" w:sz="0" w:space="0" w:color="auto"/>
                                      </w:divBdr>
                                      <w:divsChild>
                                        <w:div w:id="154752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147522">
      <w:bodyDiv w:val="1"/>
      <w:marLeft w:val="0"/>
      <w:marRight w:val="0"/>
      <w:marTop w:val="0"/>
      <w:marBottom w:val="0"/>
      <w:divBdr>
        <w:top w:val="none" w:sz="0" w:space="0" w:color="auto"/>
        <w:left w:val="none" w:sz="0" w:space="0" w:color="auto"/>
        <w:bottom w:val="none" w:sz="0" w:space="0" w:color="auto"/>
        <w:right w:val="none" w:sz="0" w:space="0" w:color="auto"/>
      </w:divBdr>
      <w:divsChild>
        <w:div w:id="1765102638">
          <w:marLeft w:val="0"/>
          <w:marRight w:val="0"/>
          <w:marTop w:val="0"/>
          <w:marBottom w:val="0"/>
          <w:divBdr>
            <w:top w:val="none" w:sz="0" w:space="0" w:color="auto"/>
            <w:left w:val="none" w:sz="0" w:space="0" w:color="auto"/>
            <w:bottom w:val="none" w:sz="0" w:space="0" w:color="auto"/>
            <w:right w:val="none" w:sz="0" w:space="0" w:color="auto"/>
          </w:divBdr>
          <w:divsChild>
            <w:div w:id="1747611141">
              <w:marLeft w:val="120"/>
              <w:marRight w:val="0"/>
              <w:marTop w:val="0"/>
              <w:marBottom w:val="0"/>
              <w:divBdr>
                <w:top w:val="none" w:sz="0" w:space="0" w:color="auto"/>
                <w:left w:val="none" w:sz="0" w:space="0" w:color="auto"/>
                <w:bottom w:val="none" w:sz="0" w:space="0" w:color="auto"/>
                <w:right w:val="none" w:sz="0" w:space="0" w:color="auto"/>
              </w:divBdr>
              <w:divsChild>
                <w:div w:id="1984046469">
                  <w:marLeft w:val="0"/>
                  <w:marRight w:val="0"/>
                  <w:marTop w:val="0"/>
                  <w:marBottom w:val="0"/>
                  <w:divBdr>
                    <w:top w:val="none" w:sz="0" w:space="0" w:color="auto"/>
                    <w:left w:val="none" w:sz="0" w:space="0" w:color="auto"/>
                    <w:bottom w:val="none" w:sz="0" w:space="0" w:color="auto"/>
                    <w:right w:val="none" w:sz="0" w:space="0" w:color="auto"/>
                  </w:divBdr>
                  <w:divsChild>
                    <w:div w:id="340789245">
                      <w:marLeft w:val="0"/>
                      <w:marRight w:val="0"/>
                      <w:marTop w:val="0"/>
                      <w:marBottom w:val="0"/>
                      <w:divBdr>
                        <w:top w:val="none" w:sz="0" w:space="0" w:color="auto"/>
                        <w:left w:val="none" w:sz="0" w:space="0" w:color="auto"/>
                        <w:bottom w:val="none" w:sz="0" w:space="0" w:color="auto"/>
                        <w:right w:val="none" w:sz="0" w:space="0" w:color="auto"/>
                      </w:divBdr>
                      <w:divsChild>
                        <w:div w:id="1497065877">
                          <w:marLeft w:val="0"/>
                          <w:marRight w:val="0"/>
                          <w:marTop w:val="0"/>
                          <w:marBottom w:val="0"/>
                          <w:divBdr>
                            <w:top w:val="none" w:sz="0" w:space="0" w:color="auto"/>
                            <w:left w:val="none" w:sz="0" w:space="0" w:color="auto"/>
                            <w:bottom w:val="none" w:sz="0" w:space="0" w:color="auto"/>
                            <w:right w:val="none" w:sz="0" w:space="0" w:color="auto"/>
                          </w:divBdr>
                          <w:divsChild>
                            <w:div w:id="29171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SF424(R&amp;R) Biographical Sketch Format Page</vt:lpstr>
    </vt:vector>
  </TitlesOfParts>
  <Company>DHHS/PHS/NIH</Company>
  <LinksUpToDate>false</LinksUpToDate>
  <CharactersWithSpaces>14886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SF424(R&amp;R) Biographical Sketch Format Page</dc:title>
  <dc:subject>DHHS, Public Health Service Grant Application</dc:subject>
  <dc:creator>Office of Extramural Programs</dc:creator>
  <cp:keywords>PHS Grant Application, SF424(R&amp;R) Biographical Sketch Format Page</cp:keywords>
  <cp:lastModifiedBy>David Clark</cp:lastModifiedBy>
  <cp:revision>5</cp:revision>
  <cp:lastPrinted>2004-10-05T21:04:00Z</cp:lastPrinted>
  <dcterms:created xsi:type="dcterms:W3CDTF">2016-05-11T20:17:00Z</dcterms:created>
  <dcterms:modified xsi:type="dcterms:W3CDTF">2022-11-06T21:26:00Z</dcterms:modified>
</cp:coreProperties>
</file>