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98432" w14:textId="77777777" w:rsidR="00382B2D" w:rsidRDefault="00382B2D" w:rsidP="00382B2D">
      <w:pPr>
        <w:pStyle w:val="OMBInfo"/>
      </w:pPr>
      <w:r>
        <w:t>OMB No. 0925-0001 and 0925-0002 (Rev. 10/2021</w:t>
      </w:r>
      <w:r w:rsidRPr="007E6E1E">
        <w:t xml:space="preserve"> </w:t>
      </w:r>
      <w:r>
        <w:t>Approved Through 01/31/2026)</w:t>
      </w:r>
    </w:p>
    <w:p w14:paraId="5DCB744B" w14:textId="620BEDAA" w:rsidR="00462CCC" w:rsidRDefault="00231DE9" w:rsidP="00F061E6">
      <w:pPr>
        <w:pStyle w:val="likeheader"/>
      </w:pPr>
      <w:r w:rsidRPr="00231DE9">
        <w:rPr>
          <w:noProof/>
          <w:bdr w:val="none" w:sz="0" w:space="0" w:color="auto"/>
        </w:rPr>
        <w:pict w14:anchorId="77A74F64">
          <v:rect id="_x0000_i1025" alt="" style="width:468pt;height:.05pt;mso-width-percent:0;mso-height-percent:0;mso-width-percent:0;mso-height-percent:0" o:hralign="center" o:hrstd="t" o:hr="t" fillcolor="gray" stroked="f">
            <v:path strokeok="f"/>
          </v:rect>
        </w:pict>
      </w:r>
    </w:p>
    <w:p w14:paraId="61393BD5" w14:textId="77777777" w:rsidR="00462CCC" w:rsidRDefault="006162F0">
      <w:pPr>
        <w:pStyle w:val="h3center"/>
      </w:pPr>
      <w:r>
        <w:rPr>
          <w:rFonts w:ascii="Arial" w:eastAsia="Arial" w:hAnsi="Arial" w:cs="Arial"/>
          <w:sz w:val="26"/>
          <w:szCs w:val="26"/>
        </w:rPr>
        <w:t>BIOGRAPHICAL SKETCH</w:t>
      </w:r>
    </w:p>
    <w:p w14:paraId="6BB94B5E" w14:textId="77777777" w:rsidR="00462CCC" w:rsidRDefault="006162F0">
      <w:pPr>
        <w:jc w:val="center"/>
      </w:pPr>
      <w:r>
        <w:rPr>
          <w:sz w:val="16"/>
          <w:szCs w:val="16"/>
        </w:rPr>
        <w:t>Provide the following information for the Senior/key personnel and other significant contributors.</w:t>
      </w:r>
    </w:p>
    <w:p w14:paraId="3E8D520E" w14:textId="77777777" w:rsidR="00462CCC" w:rsidRDefault="006162F0">
      <w:pPr>
        <w:spacing w:after="75"/>
        <w:jc w:val="center"/>
      </w:pPr>
      <w:r>
        <w:rPr>
          <w:sz w:val="16"/>
          <w:szCs w:val="16"/>
        </w:rPr>
        <w:t>Follow this format for each person. DO NOT EXCEED FIVE PAGES.</w:t>
      </w:r>
    </w:p>
    <w:tbl>
      <w:tblPr>
        <w:tblStyle w:val="table"/>
        <w:tblW w:w="5000" w:type="pct"/>
        <w:tblInd w:w="15" w:type="dxa"/>
        <w:tblBorders>
          <w:top w:val="outset" w:sz="6" w:space="0" w:color="000000"/>
          <w:left w:val="nil"/>
          <w:bottom w:val="nil"/>
          <w:right w:val="nil"/>
          <w:insideH w:val="nil"/>
          <w:insideV w:val="nil"/>
        </w:tblBorders>
        <w:tblCellMar>
          <w:top w:w="15" w:type="dxa"/>
          <w:left w:w="15" w:type="dxa"/>
          <w:bottom w:w="15" w:type="dxa"/>
          <w:right w:w="15" w:type="dxa"/>
        </w:tblCellMar>
        <w:tblLook w:val="04A0" w:firstRow="1" w:lastRow="0" w:firstColumn="1" w:lastColumn="0" w:noHBand="0" w:noVBand="1"/>
      </w:tblPr>
      <w:tblGrid>
        <w:gridCol w:w="10800"/>
      </w:tblGrid>
      <w:tr w:rsidR="00462CCC" w14:paraId="46DEAF38" w14:textId="77777777">
        <w:tc>
          <w:tcPr>
            <w:tcW w:w="4530" w:type="dxa"/>
            <w:tcBorders>
              <w:top w:val="inset" w:sz="6" w:space="0" w:color="808080"/>
              <w:bottom w:val="single" w:sz="6" w:space="0" w:color="000000"/>
            </w:tcBorders>
            <w:tcMar>
              <w:top w:w="15" w:type="dxa"/>
              <w:left w:w="15" w:type="dxa"/>
              <w:bottom w:w="15" w:type="dxa"/>
              <w:right w:w="15" w:type="dxa"/>
            </w:tcMar>
          </w:tcPr>
          <w:p w14:paraId="4E91B522" w14:textId="77777777" w:rsidR="00462CCC" w:rsidRDefault="006162F0">
            <w:r>
              <w:t>NAME: MOCHLY-ROSEN, DARIA</w:t>
            </w:r>
          </w:p>
        </w:tc>
      </w:tr>
      <w:tr w:rsidR="00462CCC" w14:paraId="36F57F24" w14:textId="77777777">
        <w:tc>
          <w:tcPr>
            <w:tcW w:w="0" w:type="auto"/>
            <w:tcBorders>
              <w:top w:val="inset" w:sz="6" w:space="0" w:color="808080"/>
              <w:bottom w:val="single" w:sz="6" w:space="0" w:color="000000"/>
            </w:tcBorders>
            <w:tcMar>
              <w:top w:w="15" w:type="dxa"/>
              <w:left w:w="15" w:type="dxa"/>
              <w:bottom w:w="15" w:type="dxa"/>
              <w:right w:w="15" w:type="dxa"/>
            </w:tcMar>
          </w:tcPr>
          <w:p w14:paraId="67F4D753" w14:textId="77777777" w:rsidR="00462CCC" w:rsidRDefault="006162F0">
            <w:r>
              <w:t>eRA COMMONS USER NAME (credential, e.g., agency login): MOCHLYROSEN.DARIA</w:t>
            </w:r>
          </w:p>
        </w:tc>
      </w:tr>
      <w:tr w:rsidR="00462CCC" w14:paraId="4D90BA25" w14:textId="77777777">
        <w:tc>
          <w:tcPr>
            <w:tcW w:w="0" w:type="auto"/>
            <w:tcBorders>
              <w:top w:val="inset" w:sz="6" w:space="0" w:color="808080"/>
              <w:bottom w:val="single" w:sz="6" w:space="0" w:color="000000"/>
            </w:tcBorders>
            <w:tcMar>
              <w:top w:w="15" w:type="dxa"/>
              <w:left w:w="15" w:type="dxa"/>
              <w:bottom w:w="15" w:type="dxa"/>
              <w:right w:w="15" w:type="dxa"/>
            </w:tcMar>
          </w:tcPr>
          <w:p w14:paraId="031B68D1" w14:textId="77777777" w:rsidR="00462CCC" w:rsidRDefault="006162F0">
            <w:r>
              <w:t>POSITION TITLE: Professor</w:t>
            </w:r>
          </w:p>
        </w:tc>
      </w:tr>
    </w:tbl>
    <w:p w14:paraId="4441FB54" w14:textId="77777777" w:rsidR="00462CCC" w:rsidRDefault="006162F0">
      <w:pPr>
        <w:pStyle w:val="sectionEducationsectionHeader"/>
      </w:pPr>
      <w:r>
        <w:t xml:space="preserve">EDUCATION/TRAINING </w:t>
      </w:r>
      <w:r>
        <w:rPr>
          <w:i/>
          <w:iCs/>
        </w:rPr>
        <w:t xml:space="preserve">(Begin with baccalaureate or other initial professional education, such as nursing, include postdoctoral training and residency training if applicable. Add/delete rows as necessary.) </w:t>
      </w:r>
    </w:p>
    <w:tbl>
      <w:tblPr>
        <w:tblStyle w:val="table"/>
        <w:tblW w:w="5000" w:type="pct"/>
        <w:tblInd w:w="15" w:type="dxa"/>
        <w:tblBorders>
          <w:top w:val="outset" w:sz="6" w:space="0" w:color="000000"/>
          <w:left w:val="nil"/>
          <w:bottom w:val="nil"/>
          <w:right w:val="nil"/>
          <w:insideH w:val="nil"/>
          <w:insideV w:val="nil"/>
        </w:tblBorders>
        <w:tblCellMar>
          <w:top w:w="15" w:type="dxa"/>
          <w:left w:w="15" w:type="dxa"/>
          <w:bottom w:w="15" w:type="dxa"/>
          <w:right w:w="15" w:type="dxa"/>
        </w:tblCellMar>
        <w:tblLook w:val="04A0" w:firstRow="1" w:lastRow="0" w:firstColumn="1" w:lastColumn="0" w:noHBand="0" w:noVBand="1"/>
      </w:tblPr>
      <w:tblGrid>
        <w:gridCol w:w="5013"/>
        <w:gridCol w:w="2129"/>
        <w:gridCol w:w="1248"/>
        <w:gridCol w:w="2410"/>
      </w:tblGrid>
      <w:tr w:rsidR="00462CCC" w14:paraId="136B25E5" w14:textId="77777777">
        <w:tc>
          <w:tcPr>
            <w:tcW w:w="0" w:type="auto"/>
            <w:tcBorders>
              <w:top w:val="inset" w:sz="6" w:space="0" w:color="808080"/>
              <w:bottom w:val="single" w:sz="6" w:space="0" w:color="000000"/>
              <w:right w:val="single" w:sz="6" w:space="0" w:color="000000"/>
            </w:tcBorders>
            <w:tcMar>
              <w:top w:w="15" w:type="dxa"/>
              <w:left w:w="15" w:type="dxa"/>
              <w:bottom w:w="15" w:type="dxa"/>
              <w:right w:w="15" w:type="dxa"/>
            </w:tcMar>
          </w:tcPr>
          <w:p w14:paraId="3253A6D9" w14:textId="77777777" w:rsidR="00462CCC" w:rsidRDefault="006162F0">
            <w:pPr>
              <w:jc w:val="center"/>
            </w:pPr>
            <w:r>
              <w:t>INSTITUTION AND LOCATION</w:t>
            </w:r>
          </w:p>
        </w:tc>
        <w:tc>
          <w:tcPr>
            <w:tcW w:w="0" w:type="auto"/>
            <w:tcBorders>
              <w:top w:val="inset" w:sz="6" w:space="0" w:color="808080"/>
              <w:left w:val="inset" w:sz="6" w:space="0" w:color="808080"/>
              <w:bottom w:val="single" w:sz="6" w:space="0" w:color="000000"/>
              <w:right w:val="single" w:sz="6" w:space="0" w:color="000000"/>
            </w:tcBorders>
            <w:tcMar>
              <w:top w:w="15" w:type="dxa"/>
              <w:left w:w="15" w:type="dxa"/>
              <w:bottom w:w="15" w:type="dxa"/>
              <w:right w:w="15" w:type="dxa"/>
            </w:tcMar>
          </w:tcPr>
          <w:p w14:paraId="4E34AACC" w14:textId="77777777" w:rsidR="00462CCC" w:rsidRDefault="006162F0">
            <w:pPr>
              <w:jc w:val="center"/>
            </w:pPr>
            <w:r>
              <w:t>DEGREE</w:t>
            </w:r>
            <w:r>
              <w:br/>
              <w:t>(if applicable)</w:t>
            </w:r>
          </w:p>
        </w:tc>
        <w:tc>
          <w:tcPr>
            <w:tcW w:w="0" w:type="auto"/>
            <w:tcBorders>
              <w:top w:val="inset" w:sz="6" w:space="0" w:color="808080"/>
              <w:left w:val="inset" w:sz="6" w:space="0" w:color="808080"/>
              <w:bottom w:val="single" w:sz="6" w:space="0" w:color="000000"/>
              <w:right w:val="single" w:sz="6" w:space="0" w:color="000000"/>
            </w:tcBorders>
            <w:tcMar>
              <w:top w:w="15" w:type="dxa"/>
              <w:left w:w="15" w:type="dxa"/>
              <w:bottom w:w="15" w:type="dxa"/>
              <w:right w:w="15" w:type="dxa"/>
            </w:tcMar>
          </w:tcPr>
          <w:p w14:paraId="55893763" w14:textId="77777777" w:rsidR="00462CCC" w:rsidRDefault="006162F0">
            <w:pPr>
              <w:jc w:val="center"/>
            </w:pPr>
            <w:r>
              <w:t>END DATE</w:t>
            </w:r>
            <w:r>
              <w:br/>
              <w:t>MM/YYYY</w:t>
            </w:r>
          </w:p>
        </w:tc>
        <w:tc>
          <w:tcPr>
            <w:tcW w:w="0" w:type="auto"/>
            <w:tcBorders>
              <w:top w:val="inset" w:sz="6" w:space="0" w:color="808080"/>
              <w:left w:val="inset" w:sz="6" w:space="0" w:color="808080"/>
              <w:bottom w:val="single" w:sz="6" w:space="0" w:color="000000"/>
            </w:tcBorders>
            <w:tcMar>
              <w:top w:w="15" w:type="dxa"/>
              <w:left w:w="15" w:type="dxa"/>
              <w:bottom w:w="15" w:type="dxa"/>
              <w:right w:w="15" w:type="dxa"/>
            </w:tcMar>
          </w:tcPr>
          <w:p w14:paraId="0C1EC4A8" w14:textId="77777777" w:rsidR="00462CCC" w:rsidRDefault="006162F0">
            <w:pPr>
              <w:jc w:val="center"/>
            </w:pPr>
            <w:r>
              <w:t>FIELD OF STUDY</w:t>
            </w:r>
          </w:p>
        </w:tc>
      </w:tr>
      <w:tr w:rsidR="00462CCC" w14:paraId="09960BA7" w14:textId="77777777">
        <w:tc>
          <w:tcPr>
            <w:tcW w:w="0" w:type="auto"/>
            <w:tcBorders>
              <w:right w:val="single" w:sz="6" w:space="0" w:color="000000"/>
            </w:tcBorders>
            <w:tcMar>
              <w:top w:w="15" w:type="dxa"/>
              <w:left w:w="15" w:type="dxa"/>
              <w:bottom w:w="15" w:type="dxa"/>
              <w:right w:w="15" w:type="dxa"/>
            </w:tcMar>
          </w:tcPr>
          <w:p w14:paraId="109972E6" w14:textId="77777777" w:rsidR="00462CCC" w:rsidRDefault="006162F0">
            <w:r>
              <w:t>Tel Aviv University, Tel Aviv</w:t>
            </w:r>
          </w:p>
        </w:tc>
        <w:tc>
          <w:tcPr>
            <w:tcW w:w="0" w:type="auto"/>
            <w:tcBorders>
              <w:left w:val="inset" w:sz="6" w:space="0" w:color="808080"/>
              <w:right w:val="single" w:sz="6" w:space="0" w:color="000000"/>
            </w:tcBorders>
            <w:tcMar>
              <w:top w:w="15" w:type="dxa"/>
              <w:left w:w="15" w:type="dxa"/>
              <w:bottom w:w="15" w:type="dxa"/>
              <w:right w:w="15" w:type="dxa"/>
            </w:tcMar>
          </w:tcPr>
          <w:p w14:paraId="69D99793" w14:textId="77777777" w:rsidR="00462CCC" w:rsidRDefault="006162F0">
            <w:pPr>
              <w:jc w:val="center"/>
            </w:pPr>
            <w:r>
              <w:t>BS</w:t>
            </w:r>
          </w:p>
        </w:tc>
        <w:tc>
          <w:tcPr>
            <w:tcW w:w="0" w:type="auto"/>
            <w:tcBorders>
              <w:left w:val="inset" w:sz="6" w:space="0" w:color="808080"/>
              <w:right w:val="single" w:sz="6" w:space="0" w:color="000000"/>
            </w:tcBorders>
            <w:tcMar>
              <w:top w:w="15" w:type="dxa"/>
              <w:left w:w="15" w:type="dxa"/>
              <w:bottom w:w="15" w:type="dxa"/>
              <w:right w:w="15" w:type="dxa"/>
            </w:tcMar>
          </w:tcPr>
          <w:p w14:paraId="5B98E12E" w14:textId="77777777" w:rsidR="00462CCC" w:rsidRDefault="006162F0">
            <w:pPr>
              <w:jc w:val="center"/>
            </w:pPr>
            <w:r>
              <w:t>06/1978</w:t>
            </w:r>
          </w:p>
        </w:tc>
        <w:tc>
          <w:tcPr>
            <w:tcW w:w="0" w:type="auto"/>
            <w:tcBorders>
              <w:left w:val="inset" w:sz="6" w:space="0" w:color="808080"/>
            </w:tcBorders>
            <w:tcMar>
              <w:top w:w="15" w:type="dxa"/>
              <w:left w:w="15" w:type="dxa"/>
              <w:bottom w:w="15" w:type="dxa"/>
              <w:right w:w="15" w:type="dxa"/>
            </w:tcMar>
          </w:tcPr>
          <w:p w14:paraId="13038871" w14:textId="77777777" w:rsidR="00462CCC" w:rsidRDefault="006162F0">
            <w:r>
              <w:t>Life Sciences</w:t>
            </w:r>
          </w:p>
        </w:tc>
      </w:tr>
      <w:tr w:rsidR="00462CCC" w14:paraId="19BEC3BC" w14:textId="77777777">
        <w:tc>
          <w:tcPr>
            <w:tcW w:w="0" w:type="auto"/>
            <w:tcBorders>
              <w:right w:val="single" w:sz="6" w:space="0" w:color="000000"/>
            </w:tcBorders>
            <w:tcMar>
              <w:top w:w="15" w:type="dxa"/>
              <w:left w:w="15" w:type="dxa"/>
              <w:bottom w:w="15" w:type="dxa"/>
              <w:right w:w="15" w:type="dxa"/>
            </w:tcMar>
          </w:tcPr>
          <w:p w14:paraId="5C49CCC6" w14:textId="77777777" w:rsidR="00462CCC" w:rsidRDefault="006162F0">
            <w:r>
              <w:t>Weizmann Institute of Science, Israel, Rehovot</w:t>
            </w:r>
          </w:p>
        </w:tc>
        <w:tc>
          <w:tcPr>
            <w:tcW w:w="0" w:type="auto"/>
            <w:tcBorders>
              <w:left w:val="inset" w:sz="6" w:space="0" w:color="808080"/>
              <w:right w:val="single" w:sz="6" w:space="0" w:color="000000"/>
            </w:tcBorders>
            <w:tcMar>
              <w:top w:w="15" w:type="dxa"/>
              <w:left w:w="15" w:type="dxa"/>
              <w:bottom w:w="15" w:type="dxa"/>
              <w:right w:w="15" w:type="dxa"/>
            </w:tcMar>
          </w:tcPr>
          <w:p w14:paraId="1641B03C" w14:textId="77777777" w:rsidR="00462CCC" w:rsidRDefault="006162F0">
            <w:pPr>
              <w:jc w:val="center"/>
            </w:pPr>
            <w:r>
              <w:t>PHD</w:t>
            </w:r>
          </w:p>
        </w:tc>
        <w:tc>
          <w:tcPr>
            <w:tcW w:w="0" w:type="auto"/>
            <w:tcBorders>
              <w:left w:val="inset" w:sz="6" w:space="0" w:color="808080"/>
              <w:right w:val="single" w:sz="6" w:space="0" w:color="000000"/>
            </w:tcBorders>
            <w:tcMar>
              <w:top w:w="15" w:type="dxa"/>
              <w:left w:w="15" w:type="dxa"/>
              <w:bottom w:w="15" w:type="dxa"/>
              <w:right w:w="15" w:type="dxa"/>
            </w:tcMar>
          </w:tcPr>
          <w:p w14:paraId="71129B47" w14:textId="77777777" w:rsidR="00462CCC" w:rsidRDefault="006162F0">
            <w:pPr>
              <w:jc w:val="center"/>
            </w:pPr>
            <w:r>
              <w:t>08/1983</w:t>
            </w:r>
          </w:p>
        </w:tc>
        <w:tc>
          <w:tcPr>
            <w:tcW w:w="0" w:type="auto"/>
            <w:tcBorders>
              <w:left w:val="inset" w:sz="6" w:space="0" w:color="808080"/>
            </w:tcBorders>
            <w:tcMar>
              <w:top w:w="15" w:type="dxa"/>
              <w:left w:w="15" w:type="dxa"/>
              <w:bottom w:w="15" w:type="dxa"/>
              <w:right w:w="15" w:type="dxa"/>
            </w:tcMar>
          </w:tcPr>
          <w:p w14:paraId="71DBD672" w14:textId="77777777" w:rsidR="00462CCC" w:rsidRDefault="006162F0">
            <w:r>
              <w:t>Chemical Immunology</w:t>
            </w:r>
          </w:p>
        </w:tc>
      </w:tr>
      <w:tr w:rsidR="00462CCC" w14:paraId="5BC3557B" w14:textId="77777777">
        <w:tc>
          <w:tcPr>
            <w:tcW w:w="0" w:type="auto"/>
            <w:tcBorders>
              <w:right w:val="single" w:sz="6" w:space="0" w:color="000000"/>
            </w:tcBorders>
            <w:tcMar>
              <w:top w:w="15" w:type="dxa"/>
              <w:left w:w="15" w:type="dxa"/>
              <w:bottom w:w="15" w:type="dxa"/>
              <w:right w:w="15" w:type="dxa"/>
            </w:tcMar>
          </w:tcPr>
          <w:p w14:paraId="4667C190" w14:textId="77777777" w:rsidR="00462CCC" w:rsidRDefault="006162F0">
            <w:r>
              <w:t>University of California, Berkeley, CA</w:t>
            </w:r>
          </w:p>
        </w:tc>
        <w:tc>
          <w:tcPr>
            <w:tcW w:w="0" w:type="auto"/>
            <w:tcBorders>
              <w:left w:val="inset" w:sz="6" w:space="0" w:color="808080"/>
              <w:right w:val="single" w:sz="6" w:space="0" w:color="000000"/>
            </w:tcBorders>
            <w:tcMar>
              <w:top w:w="15" w:type="dxa"/>
              <w:left w:w="15" w:type="dxa"/>
              <w:bottom w:w="15" w:type="dxa"/>
              <w:right w:w="15" w:type="dxa"/>
            </w:tcMar>
          </w:tcPr>
          <w:p w14:paraId="157988FB" w14:textId="77777777" w:rsidR="00462CCC" w:rsidRDefault="006162F0">
            <w:pPr>
              <w:jc w:val="center"/>
            </w:pPr>
            <w:r>
              <w:t>Postdoctoral Fellow</w:t>
            </w:r>
          </w:p>
        </w:tc>
        <w:tc>
          <w:tcPr>
            <w:tcW w:w="0" w:type="auto"/>
            <w:tcBorders>
              <w:left w:val="inset" w:sz="6" w:space="0" w:color="808080"/>
              <w:right w:val="single" w:sz="6" w:space="0" w:color="000000"/>
            </w:tcBorders>
            <w:tcMar>
              <w:top w:w="15" w:type="dxa"/>
              <w:left w:w="15" w:type="dxa"/>
              <w:bottom w:w="15" w:type="dxa"/>
              <w:right w:w="15" w:type="dxa"/>
            </w:tcMar>
          </w:tcPr>
          <w:p w14:paraId="7288CC96" w14:textId="77777777" w:rsidR="00462CCC" w:rsidRDefault="006162F0">
            <w:pPr>
              <w:jc w:val="center"/>
            </w:pPr>
            <w:r>
              <w:t>12/1985</w:t>
            </w:r>
          </w:p>
        </w:tc>
        <w:tc>
          <w:tcPr>
            <w:tcW w:w="0" w:type="auto"/>
            <w:tcBorders>
              <w:left w:val="inset" w:sz="6" w:space="0" w:color="808080"/>
            </w:tcBorders>
            <w:tcMar>
              <w:top w:w="15" w:type="dxa"/>
              <w:left w:w="15" w:type="dxa"/>
              <w:bottom w:w="15" w:type="dxa"/>
              <w:right w:w="15" w:type="dxa"/>
            </w:tcMar>
          </w:tcPr>
          <w:p w14:paraId="051D9AAB" w14:textId="77777777" w:rsidR="00462CCC" w:rsidRDefault="006162F0">
            <w:r>
              <w:t>Biochemistry</w:t>
            </w:r>
          </w:p>
        </w:tc>
      </w:tr>
    </w:tbl>
    <w:p w14:paraId="6FB334D6" w14:textId="77777777" w:rsidR="00462CCC" w:rsidRPr="0074099F" w:rsidRDefault="006162F0" w:rsidP="0074099F">
      <w:pPr>
        <w:pStyle w:val="Heading3"/>
        <w:spacing w:before="15" w:after="0"/>
        <w:rPr>
          <w:sz w:val="22"/>
          <w:szCs w:val="22"/>
        </w:rPr>
      </w:pPr>
      <w:r w:rsidRPr="0074099F">
        <w:rPr>
          <w:rFonts w:ascii="Arial" w:eastAsia="Arial" w:hAnsi="Arial" w:cs="Arial"/>
          <w:sz w:val="22"/>
          <w:szCs w:val="22"/>
        </w:rPr>
        <w:t>A. Personal Statement</w:t>
      </w:r>
    </w:p>
    <w:p w14:paraId="717FF3DD" w14:textId="42043876" w:rsidR="00A77261" w:rsidRPr="00A77261" w:rsidRDefault="00A77261" w:rsidP="00A77261">
      <w:pPr>
        <w:jc w:val="both"/>
        <w:rPr>
          <w:rFonts w:eastAsia="Times New Roman"/>
          <w:bdr w:val="none" w:sz="0" w:space="0" w:color="auto"/>
        </w:rPr>
      </w:pPr>
      <w:r w:rsidRPr="00A77261">
        <w:rPr>
          <w:rFonts w:eastAsia="Times New Roman"/>
          <w:bdr w:val="none" w:sz="0" w:space="0" w:color="auto"/>
        </w:rPr>
        <w:t>I am a protein chemist by training, leading a multidisciplinary research lab of about a dozen people that includes chemists, biochemists, biologists, geneticists, and a physician-scientist. As part of my long-standing interest in understanding the molecular basis of allosteric regulation of enzymes, I have rationally designed peptide regulators of protein kinase C, which have provided new insights into the role of this family of enzymes in various normal and pathological conditions. In a second project, using an innovative high-throughput screening method, my lab identified small-molecule allosteric activators of a key detoxifying enzyme, aldehyde dehydrogenase 2. Besides contributing to basic research, both projects led to the identification of lead compounds that were licensed to biopharma companies; the first resulted in an approved product, and the second is currently in clinical development. My experience in translational research prompted me to found and direct SPARK, Stanford’s program in translational research. This program helps and advises ~12 faculty members each year with their efforts to translate their early discoveries into clinical trials and/or to license their technologies to the pharmaceutical industry. Now in its 19th year, SPARK has maintained a success rate of over 50% annually. The study of glucose-6-phosphate dehydrogenase (G6PD) described here stems from my interest in addressing unmet clinical needs in pediatrics and builds on the expertise I gained from working on the above projects. G6PD deficiency, affecting approximately 400 million people, contributes to morbidity and mortality among infants who are at risk of bilirubin-induced kernicterus. Our work on this deficiency is promising; we have gained substantial expertise in the topic and have already made significant progress in understanding the molecular basis of the associated pathologies and in identifying small-molecule activators of mutant G6PDs, which could potentially serve as treatments for the sequelae of this enzymopathy. If successful, this work could lead to a new class of therapeutics aimed at reducing or preventing bilirubin-induced brain injury infants.</w:t>
      </w:r>
    </w:p>
    <w:p w14:paraId="5F1AC332" w14:textId="77777777" w:rsidR="00AE7D08" w:rsidRDefault="00AE7D08" w:rsidP="00AE7D08">
      <w:pPr>
        <w:spacing w:line="120" w:lineRule="auto"/>
        <w:jc w:val="both"/>
      </w:pPr>
    </w:p>
    <w:p w14:paraId="68B0B448" w14:textId="77777777" w:rsidR="00AE7D08" w:rsidRPr="002C755C" w:rsidRDefault="006162F0" w:rsidP="00AE7D08">
      <w:pPr>
        <w:rPr>
          <w:u w:val="single"/>
        </w:rPr>
      </w:pPr>
      <w:r w:rsidRPr="002C755C">
        <w:rPr>
          <w:u w:val="single"/>
        </w:rPr>
        <w:t>Ongoing and recently completed projects that I would like to highlight include:</w:t>
      </w:r>
    </w:p>
    <w:p w14:paraId="69576AE6" w14:textId="77777777" w:rsidR="00AE7D08" w:rsidRDefault="00AE7D08" w:rsidP="0074099F">
      <w:pPr>
        <w:spacing w:line="120" w:lineRule="auto"/>
        <w:rPr>
          <w:b/>
          <w:bCs/>
          <w:u w:val="single"/>
        </w:rPr>
      </w:pPr>
    </w:p>
    <w:p w14:paraId="59587367" w14:textId="1D603CBB" w:rsidR="0002742E" w:rsidRPr="007559F0" w:rsidRDefault="006162F0" w:rsidP="00AE7D08">
      <w:pPr>
        <w:rPr>
          <w:b/>
          <w:bCs/>
        </w:rPr>
      </w:pPr>
      <w:r w:rsidRPr="007559F0">
        <w:rPr>
          <w:b/>
          <w:bCs/>
        </w:rPr>
        <w:t xml:space="preserve">NIH R01 AA011147 </w:t>
      </w:r>
    </w:p>
    <w:p w14:paraId="100693F3" w14:textId="0137AAD1" w:rsidR="0074099F" w:rsidRDefault="0074099F" w:rsidP="00AE7D08">
      <w:r>
        <w:t>National Institute on Alcohol Abuse and Alcoholism (NIAAA)</w:t>
      </w:r>
    </w:p>
    <w:p w14:paraId="5BFEF8C2" w14:textId="53F7828E" w:rsidR="00AE7D08" w:rsidRDefault="006162F0" w:rsidP="00AE7D08">
      <w:r>
        <w:t xml:space="preserve">Mochly-Rosen (PI) </w:t>
      </w:r>
    </w:p>
    <w:p w14:paraId="36789D00" w14:textId="15AE0CB8" w:rsidR="00AE7D08" w:rsidRDefault="006162F0" w:rsidP="00AE7D08">
      <w:r>
        <w:t>09/30/96-06/30/2</w:t>
      </w:r>
      <w:r w:rsidR="00382B2D">
        <w:t>9</w:t>
      </w:r>
    </w:p>
    <w:p w14:paraId="7095E9B4" w14:textId="6006DC3D" w:rsidR="00462CCC" w:rsidRDefault="006162F0" w:rsidP="00AE7D08">
      <w:r>
        <w:t xml:space="preserve">Ethanol and aldehyde dehydrogenases in health and disease </w:t>
      </w:r>
    </w:p>
    <w:p w14:paraId="023BF099" w14:textId="5089C84A" w:rsidR="0051484C" w:rsidRDefault="0051484C" w:rsidP="0074099F">
      <w:pPr>
        <w:spacing w:line="120" w:lineRule="auto"/>
      </w:pPr>
    </w:p>
    <w:p w14:paraId="6FBA28E8" w14:textId="243D1BEE" w:rsidR="0051484C" w:rsidRPr="007559F0" w:rsidRDefault="0051484C" w:rsidP="0051484C">
      <w:pPr>
        <w:rPr>
          <w:b/>
          <w:bCs/>
        </w:rPr>
      </w:pPr>
      <w:r w:rsidRPr="007559F0">
        <w:rPr>
          <w:b/>
          <w:bCs/>
        </w:rPr>
        <w:t xml:space="preserve">NIH R01 HD08442 </w:t>
      </w:r>
      <w:r w:rsidR="00382B2D">
        <w:rPr>
          <w:b/>
          <w:bCs/>
        </w:rPr>
        <w:t>(Completed)</w:t>
      </w:r>
    </w:p>
    <w:p w14:paraId="43297875" w14:textId="77777777" w:rsidR="0074099F" w:rsidRDefault="0074099F" w:rsidP="0074099F">
      <w:pPr>
        <w:suppressAutoHyphens/>
        <w:jc w:val="both"/>
        <w:rPr>
          <w:color w:val="000000" w:themeColor="text1"/>
        </w:rPr>
      </w:pPr>
      <w:r>
        <w:rPr>
          <w:color w:val="000000" w:themeColor="text1"/>
        </w:rPr>
        <w:t>Eunice Kennedy National Institute of Child Health and Human Development (NICHD)</w:t>
      </w:r>
    </w:p>
    <w:p w14:paraId="53C04FEE" w14:textId="010D9FB0" w:rsidR="0051484C" w:rsidRDefault="0051484C" w:rsidP="0051484C">
      <w:r>
        <w:t>Mochly-Rosen</w:t>
      </w:r>
      <w:r w:rsidR="0074099F">
        <w:t xml:space="preserve">, Wakatsuki, </w:t>
      </w:r>
      <w:r w:rsidR="0010387D">
        <w:t>Stevens</w:t>
      </w:r>
      <w:r w:rsidR="0074099F">
        <w:t>on</w:t>
      </w:r>
      <w:r>
        <w:t xml:space="preserve"> (</w:t>
      </w:r>
      <w:r w:rsidR="0074099F">
        <w:t>M</w:t>
      </w:r>
      <w:r>
        <w:t>PI)</w:t>
      </w:r>
    </w:p>
    <w:p w14:paraId="13C73CD9" w14:textId="77777777" w:rsidR="0051484C" w:rsidRDefault="0051484C" w:rsidP="0051484C">
      <w:r>
        <w:t>04/01/16-03/31/22</w:t>
      </w:r>
    </w:p>
    <w:p w14:paraId="5D760D13" w14:textId="5796A1FA" w:rsidR="0051484C" w:rsidRDefault="0051484C" w:rsidP="0051484C">
      <w:r>
        <w:t>Development of a novel treatment for hyperbilirubinemia-induced kernicterus</w:t>
      </w:r>
      <w:r w:rsidR="004C5FA2">
        <w:t>, to be replaced by this proposal, which reflects a change in the direction of the research.</w:t>
      </w:r>
    </w:p>
    <w:p w14:paraId="7F9F90D5" w14:textId="77777777" w:rsidR="0074099F" w:rsidRDefault="0074099F" w:rsidP="00E44546"/>
    <w:p w14:paraId="6405F07B" w14:textId="77777777" w:rsidR="00382B2D" w:rsidRDefault="00382B2D" w:rsidP="00E44546"/>
    <w:p w14:paraId="17CD7E69" w14:textId="77777777" w:rsidR="00382B2D" w:rsidRDefault="00382B2D" w:rsidP="00E44546"/>
    <w:p w14:paraId="17EEA84E" w14:textId="77777777" w:rsidR="00382B2D" w:rsidRDefault="00382B2D" w:rsidP="00E44546"/>
    <w:p w14:paraId="65E77EF3" w14:textId="77777777" w:rsidR="00382B2D" w:rsidRDefault="00382B2D" w:rsidP="00E44546"/>
    <w:p w14:paraId="6524805C" w14:textId="3A3E4268" w:rsidR="00E44546" w:rsidRPr="0074099F" w:rsidRDefault="00AE7D08" w:rsidP="00E44546">
      <w:pPr>
        <w:rPr>
          <w:u w:val="single"/>
        </w:rPr>
      </w:pPr>
      <w:r w:rsidRPr="0074099F">
        <w:rPr>
          <w:u w:val="single"/>
        </w:rPr>
        <w:lastRenderedPageBreak/>
        <w:t>Citations</w:t>
      </w:r>
      <w:r w:rsidR="00382B2D">
        <w:rPr>
          <w:u w:val="single"/>
        </w:rPr>
        <w:t>:</w:t>
      </w:r>
    </w:p>
    <w:p w14:paraId="4555F645" w14:textId="3FEA7ED8" w:rsidR="00115D1F" w:rsidRPr="00A7022A" w:rsidRDefault="00115D1F" w:rsidP="00115D1F">
      <w:pPr>
        <w:pStyle w:val="ListParagraph"/>
        <w:numPr>
          <w:ilvl w:val="0"/>
          <w:numId w:val="34"/>
        </w:numPr>
        <w:jc w:val="both"/>
        <w:rPr>
          <w:rStyle w:val="docsum-journal-citation"/>
          <w:rFonts w:eastAsia="Times New Roman"/>
          <w:color w:val="000000" w:themeColor="text1"/>
          <w:bdr w:val="none" w:sz="0" w:space="0" w:color="auto"/>
        </w:rPr>
      </w:pPr>
      <w:r w:rsidRPr="006371B6">
        <w:rPr>
          <w:rStyle w:val="docsum-authors"/>
          <w:color w:val="000000" w:themeColor="text1"/>
        </w:rPr>
        <w:t xml:space="preserve">Horikoshi N, Hwang S, Gati C, Matsui T, Castillo-Orellana C, Raub AG, Garcia AA, Jabbarpour F, Batyuk A, Broweleit J, Xiang X, Chiang A, Broweleit R, Vöhringer-Martinez E, </w:t>
      </w:r>
      <w:r w:rsidRPr="006371B6">
        <w:rPr>
          <w:rStyle w:val="docsum-authors"/>
          <w:b/>
          <w:bCs/>
          <w:color w:val="000000" w:themeColor="text1"/>
        </w:rPr>
        <w:t>MOCHLY-ROSEN D</w:t>
      </w:r>
      <w:r w:rsidRPr="006371B6">
        <w:rPr>
          <w:rStyle w:val="docsum-authors"/>
          <w:color w:val="000000" w:themeColor="text1"/>
        </w:rPr>
        <w:t xml:space="preserve">, Wakatsuki S. </w:t>
      </w:r>
      <w:r w:rsidRPr="006371B6">
        <w:rPr>
          <w:color w:val="000000" w:themeColor="text1"/>
          <w:shd w:val="clear" w:color="auto" w:fill="FFFFFF"/>
        </w:rPr>
        <w:t>Long-range structural defects by pathogenic mutations in most severe glucose-6 phosphate dehydrogenase deficiency.</w:t>
      </w:r>
      <w:r w:rsidRPr="006371B6">
        <w:rPr>
          <w:color w:val="000000" w:themeColor="text1"/>
        </w:rPr>
        <w:t xml:space="preserve">  </w:t>
      </w:r>
      <w:r w:rsidRPr="006371B6">
        <w:rPr>
          <w:rStyle w:val="docsum-journal-citation"/>
          <w:i/>
          <w:iCs/>
          <w:color w:val="000000" w:themeColor="text1"/>
        </w:rPr>
        <w:t>Proc Natl Acad Sci U S A</w:t>
      </w:r>
      <w:r w:rsidRPr="006371B6">
        <w:rPr>
          <w:rStyle w:val="docsum-journal-citation"/>
          <w:color w:val="000000" w:themeColor="text1"/>
        </w:rPr>
        <w:t xml:space="preserve">. 2021; </w:t>
      </w:r>
      <w:r w:rsidRPr="006371B6">
        <w:rPr>
          <w:rStyle w:val="docsum-journal-citation"/>
          <w:color w:val="000000" w:themeColor="text1"/>
          <w:u w:val="single"/>
        </w:rPr>
        <w:t>118</w:t>
      </w:r>
      <w:r w:rsidR="00147F37">
        <w:rPr>
          <w:rStyle w:val="docsum-journal-citation"/>
          <w:color w:val="000000" w:themeColor="text1"/>
          <w:u w:val="single"/>
        </w:rPr>
        <w:t>.</w:t>
      </w:r>
      <w:r w:rsidRPr="006371B6">
        <w:rPr>
          <w:rStyle w:val="docsum-journal-citation"/>
          <w:color w:val="000000" w:themeColor="text1"/>
        </w:rPr>
        <w:t xml:space="preserve"> </w:t>
      </w:r>
      <w:r w:rsidRPr="00147F37">
        <w:rPr>
          <w:rStyle w:val="docsum-journal-citation"/>
          <w:color w:val="000000" w:themeColor="text1"/>
        </w:rPr>
        <w:t>PMCID: PMC7848525</w:t>
      </w:r>
    </w:p>
    <w:p w14:paraId="06B1B992" w14:textId="5B49C684" w:rsidR="00A7022A" w:rsidRDefault="00147345" w:rsidP="00115D1F">
      <w:pPr>
        <w:pStyle w:val="ListParagraph"/>
        <w:numPr>
          <w:ilvl w:val="0"/>
          <w:numId w:val="34"/>
        </w:numPr>
        <w:jc w:val="both"/>
        <w:rPr>
          <w:rStyle w:val="docsum-journal-citation"/>
          <w:rFonts w:eastAsia="Times New Roman"/>
          <w:color w:val="000000" w:themeColor="text1"/>
          <w:bdr w:val="none" w:sz="0" w:space="0" w:color="auto"/>
        </w:rPr>
      </w:pPr>
      <w:r>
        <w:rPr>
          <w:rStyle w:val="docsum-journal-citation"/>
          <w:rFonts w:eastAsia="Times New Roman"/>
          <w:color w:val="000000" w:themeColor="text1"/>
          <w:bdr w:val="none" w:sz="0" w:space="0" w:color="auto"/>
        </w:rPr>
        <w:t>MOCHLY-ROSEN D. &amp; Grimes, KV. “A Practical Guide to Drug Development in Academia: the SPARK Approach”, 1</w:t>
      </w:r>
      <w:r w:rsidRPr="00147345">
        <w:rPr>
          <w:rStyle w:val="docsum-journal-citation"/>
          <w:rFonts w:eastAsia="Times New Roman"/>
          <w:color w:val="000000" w:themeColor="text1"/>
          <w:bdr w:val="none" w:sz="0" w:space="0" w:color="auto"/>
          <w:vertAlign w:val="superscript"/>
        </w:rPr>
        <w:t>st</w:t>
      </w:r>
      <w:r>
        <w:rPr>
          <w:rStyle w:val="docsum-journal-citation"/>
          <w:rFonts w:eastAsia="Times New Roman"/>
          <w:color w:val="000000" w:themeColor="text1"/>
          <w:bdr w:val="none" w:sz="0" w:space="0" w:color="auto"/>
        </w:rPr>
        <w:t xml:space="preserve"> edition (Springer 2014)</w:t>
      </w:r>
    </w:p>
    <w:p w14:paraId="4CD666B4" w14:textId="40ECE63F" w:rsidR="00147345" w:rsidRDefault="00147345" w:rsidP="00147345">
      <w:pPr>
        <w:pStyle w:val="ListParagraph"/>
        <w:numPr>
          <w:ilvl w:val="0"/>
          <w:numId w:val="34"/>
        </w:numPr>
        <w:jc w:val="both"/>
        <w:rPr>
          <w:rStyle w:val="docsum-journal-citation"/>
          <w:rFonts w:eastAsia="Times New Roman"/>
          <w:color w:val="000000" w:themeColor="text1"/>
          <w:bdr w:val="none" w:sz="0" w:space="0" w:color="auto"/>
        </w:rPr>
      </w:pPr>
      <w:r>
        <w:rPr>
          <w:rStyle w:val="docsum-journal-citation"/>
          <w:rFonts w:eastAsia="Times New Roman"/>
          <w:color w:val="000000" w:themeColor="text1"/>
          <w:bdr w:val="none" w:sz="0" w:space="0" w:color="auto"/>
        </w:rPr>
        <w:t>MOCHLY-ROSEN D. &amp; Grimes, KV</w:t>
      </w:r>
      <w:r>
        <w:rPr>
          <w:rStyle w:val="docsum-journal-citation"/>
          <w:rFonts w:eastAsia="Times New Roman"/>
          <w:color w:val="000000" w:themeColor="text1"/>
          <w:bdr w:val="none" w:sz="0" w:space="0" w:color="auto"/>
        </w:rPr>
        <w:t>.</w:t>
      </w:r>
      <w:r>
        <w:rPr>
          <w:rStyle w:val="docsum-journal-citation"/>
          <w:rFonts w:eastAsia="Times New Roman"/>
          <w:color w:val="000000" w:themeColor="text1"/>
          <w:bdr w:val="none" w:sz="0" w:space="0" w:color="auto"/>
        </w:rPr>
        <w:t xml:space="preserve"> “A Practical Guide to Drug Development in Academia</w:t>
      </w:r>
      <w:r>
        <w:rPr>
          <w:rStyle w:val="docsum-journal-citation"/>
          <w:rFonts w:eastAsia="Times New Roman"/>
          <w:color w:val="000000" w:themeColor="text1"/>
          <w:bdr w:val="none" w:sz="0" w:space="0" w:color="auto"/>
        </w:rPr>
        <w:t>:</w:t>
      </w:r>
      <w:r>
        <w:rPr>
          <w:rStyle w:val="docsum-journal-citation"/>
          <w:rFonts w:eastAsia="Times New Roman"/>
          <w:color w:val="000000" w:themeColor="text1"/>
          <w:bdr w:val="none" w:sz="0" w:space="0" w:color="auto"/>
        </w:rPr>
        <w:t xml:space="preserve"> the SPARK Approach”, </w:t>
      </w:r>
      <w:r>
        <w:rPr>
          <w:rStyle w:val="docsum-journal-citation"/>
          <w:rFonts w:eastAsia="Times New Roman"/>
          <w:color w:val="000000" w:themeColor="text1"/>
          <w:bdr w:val="none" w:sz="0" w:space="0" w:color="auto"/>
        </w:rPr>
        <w:t>2</w:t>
      </w:r>
      <w:r w:rsidRPr="00147345">
        <w:rPr>
          <w:rStyle w:val="docsum-journal-citation"/>
          <w:rFonts w:eastAsia="Times New Roman"/>
          <w:color w:val="000000" w:themeColor="text1"/>
          <w:bdr w:val="none" w:sz="0" w:space="0" w:color="auto"/>
          <w:vertAlign w:val="superscript"/>
        </w:rPr>
        <w:t>nd</w:t>
      </w:r>
      <w:r>
        <w:rPr>
          <w:rStyle w:val="docsum-journal-citation"/>
          <w:rFonts w:eastAsia="Times New Roman"/>
          <w:color w:val="000000" w:themeColor="text1"/>
          <w:bdr w:val="none" w:sz="0" w:space="0" w:color="auto"/>
        </w:rPr>
        <w:t xml:space="preserve"> </w:t>
      </w:r>
      <w:r>
        <w:rPr>
          <w:rStyle w:val="docsum-journal-citation"/>
          <w:rFonts w:eastAsia="Times New Roman"/>
          <w:color w:val="000000" w:themeColor="text1"/>
          <w:bdr w:val="none" w:sz="0" w:space="0" w:color="auto"/>
        </w:rPr>
        <w:t>edition (Springer 20</w:t>
      </w:r>
      <w:r>
        <w:rPr>
          <w:rStyle w:val="docsum-journal-citation"/>
          <w:rFonts w:eastAsia="Times New Roman"/>
          <w:color w:val="000000" w:themeColor="text1"/>
          <w:bdr w:val="none" w:sz="0" w:space="0" w:color="auto"/>
        </w:rPr>
        <w:t>23</w:t>
      </w:r>
      <w:r>
        <w:rPr>
          <w:rStyle w:val="docsum-journal-citation"/>
          <w:rFonts w:eastAsia="Times New Roman"/>
          <w:color w:val="000000" w:themeColor="text1"/>
          <w:bdr w:val="none" w:sz="0" w:space="0" w:color="auto"/>
        </w:rPr>
        <w:t>)</w:t>
      </w:r>
    </w:p>
    <w:p w14:paraId="6E1B14A6" w14:textId="61958A70" w:rsidR="00147345" w:rsidRPr="006371B6" w:rsidRDefault="00147345" w:rsidP="00115D1F">
      <w:pPr>
        <w:pStyle w:val="ListParagraph"/>
        <w:numPr>
          <w:ilvl w:val="0"/>
          <w:numId w:val="34"/>
        </w:numPr>
        <w:jc w:val="both"/>
        <w:rPr>
          <w:rStyle w:val="docsum-journal-citation"/>
          <w:rFonts w:eastAsia="Times New Roman"/>
          <w:color w:val="000000" w:themeColor="text1"/>
          <w:bdr w:val="none" w:sz="0" w:space="0" w:color="auto"/>
        </w:rPr>
      </w:pPr>
      <w:r>
        <w:rPr>
          <w:rStyle w:val="docsum-journal-citation"/>
          <w:rFonts w:eastAsia="Times New Roman"/>
          <w:color w:val="000000" w:themeColor="text1"/>
          <w:bdr w:val="none" w:sz="0" w:space="0" w:color="auto"/>
        </w:rPr>
        <w:t>MOCHLY-ROSEN D. &amp; Rosen E. “The Life Machines: How Taking Care of Your Mitochondria Can Transform Your Health” (Simon &amp; Schuster 2025)</w:t>
      </w:r>
    </w:p>
    <w:p w14:paraId="5F838D87" w14:textId="668B64C2" w:rsidR="00462CCC" w:rsidRDefault="006162F0" w:rsidP="00DA0B1D">
      <w:pPr>
        <w:pStyle w:val="Heading3"/>
        <w:spacing w:before="100" w:beforeAutospacing="1"/>
        <w:ind w:left="1440" w:hanging="1440"/>
        <w:rPr>
          <w:rFonts w:ascii="Arial" w:eastAsia="Arial" w:hAnsi="Arial" w:cs="Arial"/>
          <w:sz w:val="22"/>
          <w:szCs w:val="22"/>
        </w:rPr>
      </w:pPr>
      <w:r w:rsidRPr="0080034C">
        <w:rPr>
          <w:rFonts w:ascii="Arial" w:eastAsia="Arial" w:hAnsi="Arial" w:cs="Arial"/>
          <w:sz w:val="22"/>
          <w:szCs w:val="22"/>
        </w:rPr>
        <w:t>B. Positions, Scientific Appointments and Honors</w:t>
      </w:r>
    </w:p>
    <w:p w14:paraId="0CA5414B" w14:textId="77777777" w:rsidR="0080034C" w:rsidRPr="0080034C" w:rsidRDefault="0080034C" w:rsidP="0080034C">
      <w:pPr>
        <w:spacing w:line="120" w:lineRule="auto"/>
      </w:pPr>
    </w:p>
    <w:p w14:paraId="54D94B2F" w14:textId="77777777" w:rsidR="00462CCC" w:rsidRDefault="006162F0" w:rsidP="0080034C">
      <w:pPr>
        <w:pStyle w:val="h3underline"/>
        <w:spacing w:before="0"/>
        <w:rPr>
          <w:rFonts w:ascii="Arial" w:eastAsia="Arial" w:hAnsi="Arial" w:cs="Arial"/>
          <w:sz w:val="22"/>
          <w:szCs w:val="22"/>
        </w:rPr>
      </w:pPr>
      <w:r w:rsidRPr="0080034C">
        <w:rPr>
          <w:rFonts w:ascii="Arial" w:eastAsia="Arial" w:hAnsi="Arial" w:cs="Arial"/>
          <w:sz w:val="22"/>
          <w:szCs w:val="22"/>
        </w:rPr>
        <w:t>Positions and Scientific Appointments</w:t>
      </w:r>
    </w:p>
    <w:p w14:paraId="27003477" w14:textId="77777777" w:rsidR="00382B2D" w:rsidRPr="0080034C" w:rsidRDefault="00382B2D" w:rsidP="00382B2D">
      <w:pPr>
        <w:pStyle w:val="h3underline"/>
        <w:spacing w:before="0" w:after="0" w:line="120" w:lineRule="auto"/>
        <w:rPr>
          <w:sz w:val="22"/>
          <w:szCs w:val="22"/>
        </w:rPr>
      </w:pPr>
    </w:p>
    <w:p w14:paraId="18B34FCD" w14:textId="77777777" w:rsidR="00382B2D" w:rsidRDefault="00382B2D" w:rsidP="00382B2D">
      <w:pPr>
        <w:tabs>
          <w:tab w:val="left" w:pos="1440"/>
        </w:tabs>
        <w:ind w:left="15"/>
        <w:jc w:val="both"/>
      </w:pPr>
      <w:r>
        <w:t>2024-present</w:t>
      </w:r>
      <w:r w:rsidRPr="00E80431">
        <w:tab/>
      </w:r>
      <w:r>
        <w:t>Board Member, Grand Challenges Advisory Board for the Africa Drug Discovery Accelerator</w:t>
      </w:r>
    </w:p>
    <w:p w14:paraId="3209332E" w14:textId="77777777" w:rsidR="00382B2D" w:rsidRDefault="00382B2D" w:rsidP="00382B2D">
      <w:pPr>
        <w:tabs>
          <w:tab w:val="left" w:pos="1440"/>
        </w:tabs>
        <w:ind w:left="15"/>
        <w:jc w:val="both"/>
      </w:pPr>
      <w:r>
        <w:tab/>
        <w:t>(GC ADDA)</w:t>
      </w:r>
    </w:p>
    <w:p w14:paraId="25FD3F08" w14:textId="77777777" w:rsidR="00382B2D" w:rsidRPr="00E80431" w:rsidRDefault="00382B2D" w:rsidP="00382B2D">
      <w:pPr>
        <w:tabs>
          <w:tab w:val="left" w:pos="1440"/>
        </w:tabs>
        <w:ind w:left="15"/>
        <w:jc w:val="both"/>
      </w:pPr>
      <w:r w:rsidRPr="00E80431">
        <w:t>2021-</w:t>
      </w:r>
      <w:r>
        <w:t>2022</w:t>
      </w:r>
      <w:r w:rsidRPr="00E80431">
        <w:tab/>
      </w:r>
      <w:r>
        <w:t xml:space="preserve">Advisory Board, </w:t>
      </w:r>
      <w:r w:rsidRPr="00E80431">
        <w:t>Stanford Program on Research Rigor &amp; Reproducibility (SPORR</w:t>
      </w:r>
      <w:r>
        <w:t>)</w:t>
      </w:r>
    </w:p>
    <w:p w14:paraId="7F67EF24" w14:textId="77777777" w:rsidR="00382B2D" w:rsidRDefault="00382B2D" w:rsidP="00382B2D">
      <w:pPr>
        <w:tabs>
          <w:tab w:val="left" w:pos="1440"/>
        </w:tabs>
        <w:ind w:left="15"/>
        <w:jc w:val="both"/>
      </w:pPr>
      <w:r w:rsidRPr="00E80431">
        <w:t>2020-present  Faculty Board of the PhD School in Computer Science, University of Pisa, Italy</w:t>
      </w:r>
    </w:p>
    <w:p w14:paraId="514E4518" w14:textId="77777777" w:rsidR="00382B2D" w:rsidRPr="001D6F98" w:rsidRDefault="00382B2D" w:rsidP="00382B2D">
      <w:pPr>
        <w:tabs>
          <w:tab w:val="left" w:pos="1440"/>
        </w:tabs>
        <w:ind w:left="15"/>
        <w:jc w:val="both"/>
      </w:pPr>
      <w:r w:rsidRPr="001D6F98">
        <w:t>2020-present</w:t>
      </w:r>
      <w:r w:rsidRPr="001D6F98">
        <w:tab/>
        <w:t>Member, Wu Tsai Neurosciences Institute, Stanford University</w:t>
      </w:r>
    </w:p>
    <w:p w14:paraId="42BD7DB7" w14:textId="77777777" w:rsidR="00382B2D" w:rsidRPr="00E80431" w:rsidRDefault="00382B2D" w:rsidP="00382B2D">
      <w:pPr>
        <w:tabs>
          <w:tab w:val="left" w:pos="1440"/>
        </w:tabs>
        <w:ind w:left="15"/>
        <w:jc w:val="both"/>
      </w:pPr>
      <w:r w:rsidRPr="00E80431">
        <w:t>2018-present</w:t>
      </w:r>
      <w:r w:rsidRPr="00E80431">
        <w:tab/>
        <w:t>Board Member, VIB Institutional Advisory Board</w:t>
      </w:r>
    </w:p>
    <w:p w14:paraId="7A8CA0B5" w14:textId="77777777" w:rsidR="00382B2D" w:rsidRPr="00E80431" w:rsidRDefault="00382B2D" w:rsidP="00382B2D">
      <w:pPr>
        <w:tabs>
          <w:tab w:val="left" w:pos="1440"/>
        </w:tabs>
        <w:ind w:left="15"/>
        <w:jc w:val="both"/>
      </w:pPr>
      <w:r w:rsidRPr="00E80431">
        <w:t>2017- 2020</w:t>
      </w:r>
      <w:r w:rsidRPr="00E80431">
        <w:tab/>
        <w:t>Board Member, Wellcome Science, Innovation and Translation Program Advisory Board</w:t>
      </w:r>
    </w:p>
    <w:p w14:paraId="7FFE27AD" w14:textId="77777777" w:rsidR="00382B2D" w:rsidRPr="00E80431" w:rsidRDefault="00382B2D" w:rsidP="00382B2D">
      <w:pPr>
        <w:tabs>
          <w:tab w:val="left" w:pos="1440"/>
        </w:tabs>
        <w:ind w:left="15"/>
        <w:jc w:val="both"/>
      </w:pPr>
      <w:r w:rsidRPr="00E80431">
        <w:t>2016-present</w:t>
      </w:r>
      <w:r w:rsidRPr="00E80431">
        <w:tab/>
        <w:t>Board Member and Stanford Representative, California Life Sciences Association (CLSA)</w:t>
      </w:r>
    </w:p>
    <w:p w14:paraId="544515A7" w14:textId="77777777" w:rsidR="00382B2D" w:rsidRPr="00E80431" w:rsidRDefault="00382B2D" w:rsidP="00382B2D">
      <w:pPr>
        <w:tabs>
          <w:tab w:val="left" w:pos="1440"/>
        </w:tabs>
        <w:ind w:left="1440" w:hanging="1440"/>
        <w:jc w:val="both"/>
      </w:pPr>
      <w:r w:rsidRPr="00E80431">
        <w:t>2015-present</w:t>
      </w:r>
      <w:r w:rsidRPr="00E80431">
        <w:tab/>
        <w:t>President &amp; Founder, SPARK GLOBAL, an organization of &gt;60 academic institutes and hospitals throughout t the world that have adopted the SPARK structure that I established at Standard University to assist academia in translational research</w:t>
      </w:r>
    </w:p>
    <w:p w14:paraId="795C809B" w14:textId="77777777" w:rsidR="00382B2D" w:rsidRPr="00E80431" w:rsidRDefault="00382B2D" w:rsidP="00382B2D">
      <w:pPr>
        <w:tabs>
          <w:tab w:val="left" w:pos="1440"/>
        </w:tabs>
        <w:ind w:left="15"/>
        <w:jc w:val="both"/>
      </w:pPr>
      <w:r w:rsidRPr="00E80431">
        <w:t>2015-2020</w:t>
      </w:r>
      <w:r w:rsidRPr="00E80431">
        <w:tab/>
        <w:t>Member, UCSF-Stanford CERSI External Advisory Board</w:t>
      </w:r>
    </w:p>
    <w:p w14:paraId="6CBEAB73" w14:textId="77777777" w:rsidR="00382B2D" w:rsidRPr="00E80431" w:rsidRDefault="00382B2D" w:rsidP="00382B2D">
      <w:pPr>
        <w:tabs>
          <w:tab w:val="left" w:pos="1440"/>
        </w:tabs>
        <w:ind w:left="15"/>
        <w:jc w:val="both"/>
      </w:pPr>
      <w:r w:rsidRPr="00E80431">
        <w:t xml:space="preserve">2015-2018 </w:t>
      </w:r>
      <w:r w:rsidRPr="00E80431">
        <w:tab/>
        <w:t>Board Member, Tokyo Medical and Dental University Advisory Board, Tokyo</w:t>
      </w:r>
    </w:p>
    <w:p w14:paraId="69C43F41" w14:textId="77777777" w:rsidR="00382B2D" w:rsidRPr="00E80431" w:rsidRDefault="00382B2D" w:rsidP="00382B2D">
      <w:pPr>
        <w:tabs>
          <w:tab w:val="left" w:pos="1440"/>
        </w:tabs>
        <w:ind w:left="15"/>
        <w:jc w:val="both"/>
      </w:pPr>
      <w:r w:rsidRPr="00E80431">
        <w:t xml:space="preserve">2014-2018 </w:t>
      </w:r>
      <w:r w:rsidRPr="00E80431">
        <w:tab/>
        <w:t>Board Member, Distinguished Careers Institute (DCI), Stanford University</w:t>
      </w:r>
    </w:p>
    <w:p w14:paraId="28BB90C8" w14:textId="77777777" w:rsidR="00382B2D" w:rsidRPr="00E80431" w:rsidRDefault="00382B2D" w:rsidP="00382B2D">
      <w:pPr>
        <w:tabs>
          <w:tab w:val="left" w:pos="1440"/>
        </w:tabs>
        <w:ind w:left="15"/>
        <w:jc w:val="both"/>
      </w:pPr>
      <w:r w:rsidRPr="00E80431">
        <w:t xml:space="preserve">2013-present </w:t>
      </w:r>
      <w:r w:rsidRPr="00E80431">
        <w:tab/>
        <w:t>Fellow, Institute of Chemical Biology (ChEM-H), Stanford University</w:t>
      </w:r>
    </w:p>
    <w:p w14:paraId="3EAE1F46" w14:textId="77777777" w:rsidR="00382B2D" w:rsidRPr="00E80431" w:rsidRDefault="00382B2D" w:rsidP="00382B2D">
      <w:pPr>
        <w:tabs>
          <w:tab w:val="left" w:pos="1440"/>
        </w:tabs>
        <w:ind w:left="15"/>
        <w:jc w:val="both"/>
      </w:pPr>
      <w:r w:rsidRPr="00E80431">
        <w:t xml:space="preserve">2012-present </w:t>
      </w:r>
      <w:r w:rsidRPr="00E80431">
        <w:tab/>
        <w:t>Member, Child Health Research Institute (CHRI), Stanford University</w:t>
      </w:r>
    </w:p>
    <w:p w14:paraId="38F2995F" w14:textId="77777777" w:rsidR="00382B2D" w:rsidRPr="00E80431" w:rsidRDefault="00382B2D" w:rsidP="00382B2D">
      <w:pPr>
        <w:tabs>
          <w:tab w:val="left" w:pos="1440"/>
        </w:tabs>
        <w:ind w:left="15"/>
        <w:jc w:val="both"/>
      </w:pPr>
      <w:r w:rsidRPr="00E80431">
        <w:t>2012-2016</w:t>
      </w:r>
      <w:r w:rsidRPr="00E80431">
        <w:tab/>
        <w:t>Founder, ALDEA/Aviv Pharmaceuticals, acquired by Foresee in 2016</w:t>
      </w:r>
    </w:p>
    <w:p w14:paraId="4DF29C4A" w14:textId="77777777" w:rsidR="00382B2D" w:rsidRPr="00E80431" w:rsidRDefault="00382B2D" w:rsidP="00382B2D">
      <w:pPr>
        <w:tabs>
          <w:tab w:val="left" w:pos="1440"/>
        </w:tabs>
        <w:ind w:left="15"/>
        <w:jc w:val="both"/>
      </w:pPr>
      <w:r w:rsidRPr="00E80431">
        <w:t xml:space="preserve">2011-2016 </w:t>
      </w:r>
      <w:r w:rsidRPr="00E80431">
        <w:tab/>
        <w:t xml:space="preserve">Board member, Taiwan National Research Program for Biopharmaceuticals (NRPB) </w:t>
      </w:r>
    </w:p>
    <w:p w14:paraId="6F62A75C" w14:textId="77777777" w:rsidR="00382B2D" w:rsidRPr="00E80431" w:rsidRDefault="00382B2D" w:rsidP="00382B2D">
      <w:pPr>
        <w:tabs>
          <w:tab w:val="left" w:pos="1440"/>
        </w:tabs>
        <w:ind w:left="15"/>
        <w:jc w:val="both"/>
      </w:pPr>
      <w:r w:rsidRPr="00E80431">
        <w:t xml:space="preserve">2007-2018 </w:t>
      </w:r>
      <w:r w:rsidRPr="00E80431">
        <w:tab/>
        <w:t>Steering Committee Member, Cardiovascular Institute (CVI), Stanford University</w:t>
      </w:r>
    </w:p>
    <w:p w14:paraId="36BB6484" w14:textId="77777777" w:rsidR="00382B2D" w:rsidRPr="00E80431" w:rsidRDefault="00382B2D" w:rsidP="00382B2D">
      <w:pPr>
        <w:tabs>
          <w:tab w:val="left" w:pos="1440"/>
        </w:tabs>
        <w:ind w:left="15"/>
        <w:jc w:val="both"/>
      </w:pPr>
      <w:r w:rsidRPr="00E80431">
        <w:t>2007-2011</w:t>
      </w:r>
      <w:r w:rsidRPr="00E80431">
        <w:tab/>
        <w:t>Associate Director, Cardiovascular Institute (CVI), Stanford University</w:t>
      </w:r>
    </w:p>
    <w:p w14:paraId="4E0BEB9A" w14:textId="77777777" w:rsidR="00382B2D" w:rsidRPr="00E80431" w:rsidRDefault="00382B2D" w:rsidP="00382B2D">
      <w:pPr>
        <w:tabs>
          <w:tab w:val="left" w:pos="1440"/>
        </w:tabs>
        <w:ind w:left="15"/>
        <w:jc w:val="both"/>
      </w:pPr>
      <w:r w:rsidRPr="00E80431">
        <w:t>2007-2010</w:t>
      </w:r>
      <w:r w:rsidRPr="00E80431">
        <w:tab/>
        <w:t>Member, National Institutes of Health Council of Councils</w:t>
      </w:r>
    </w:p>
    <w:p w14:paraId="3A5A5002" w14:textId="77777777" w:rsidR="00382B2D" w:rsidRPr="00E80431" w:rsidRDefault="00382B2D" w:rsidP="00382B2D">
      <w:pPr>
        <w:tabs>
          <w:tab w:val="left" w:pos="1440"/>
        </w:tabs>
        <w:ind w:left="15"/>
        <w:jc w:val="both"/>
      </w:pPr>
      <w:r w:rsidRPr="00E80431">
        <w:t>2006-present</w:t>
      </w:r>
      <w:r w:rsidRPr="00E80431">
        <w:tab/>
        <w:t>Founder and Co-Director, SPARK Translational Research Program, Stanford University</w:t>
      </w:r>
    </w:p>
    <w:p w14:paraId="35BC2722" w14:textId="77777777" w:rsidR="00382B2D" w:rsidRPr="00E80431" w:rsidRDefault="00382B2D" w:rsidP="00382B2D">
      <w:pPr>
        <w:tabs>
          <w:tab w:val="left" w:pos="1440"/>
        </w:tabs>
        <w:ind w:left="15"/>
        <w:jc w:val="both"/>
      </w:pPr>
      <w:r w:rsidRPr="00E80431">
        <w:t>2006-2013</w:t>
      </w:r>
      <w:r w:rsidRPr="00E80431">
        <w:tab/>
        <w:t>Senior Associate Dean for Research, Stanford University School of Medicine</w:t>
      </w:r>
    </w:p>
    <w:p w14:paraId="0E3604FE" w14:textId="77777777" w:rsidR="00382B2D" w:rsidRPr="00E80431" w:rsidRDefault="00382B2D" w:rsidP="00382B2D">
      <w:pPr>
        <w:tabs>
          <w:tab w:val="left" w:pos="1440"/>
        </w:tabs>
        <w:ind w:left="15"/>
        <w:jc w:val="both"/>
      </w:pPr>
      <w:r w:rsidRPr="00E80431">
        <w:t>2006-2010</w:t>
      </w:r>
      <w:r w:rsidRPr="00E80431">
        <w:tab/>
        <w:t>Member, Peer Review Advisory Committee, National Institutes of Health (NIH)</w:t>
      </w:r>
    </w:p>
    <w:p w14:paraId="496A3C3F" w14:textId="77777777" w:rsidR="00382B2D" w:rsidRPr="00E80431" w:rsidRDefault="00382B2D" w:rsidP="00382B2D">
      <w:pPr>
        <w:tabs>
          <w:tab w:val="left" w:pos="1440"/>
        </w:tabs>
        <w:jc w:val="both"/>
      </w:pPr>
      <w:r w:rsidRPr="00E80431">
        <w:t>2005-present</w:t>
      </w:r>
      <w:r w:rsidRPr="00E80431">
        <w:tab/>
        <w:t>The George D. Smith Professor of Translational Medicine, Stanford School of Medicine</w:t>
      </w:r>
    </w:p>
    <w:p w14:paraId="0B960AAA" w14:textId="77777777" w:rsidR="00382B2D" w:rsidRPr="00E80431" w:rsidRDefault="00382B2D" w:rsidP="00382B2D">
      <w:pPr>
        <w:tabs>
          <w:tab w:val="left" w:pos="1440"/>
        </w:tabs>
        <w:ind w:left="15"/>
        <w:jc w:val="both"/>
      </w:pPr>
      <w:r w:rsidRPr="00E80431">
        <w:t>2004-2011</w:t>
      </w:r>
      <w:r w:rsidRPr="00E80431">
        <w:tab/>
        <w:t>Founder and Chief Scientific Officer (CSO), KAI Pharmaceuticals; acquired by Amgen</w:t>
      </w:r>
    </w:p>
    <w:p w14:paraId="1623E411" w14:textId="77777777" w:rsidR="00382B2D" w:rsidRPr="00E80431" w:rsidRDefault="00382B2D" w:rsidP="00382B2D">
      <w:pPr>
        <w:tabs>
          <w:tab w:val="left" w:pos="1350"/>
        </w:tabs>
        <w:ind w:left="1440" w:hanging="1430"/>
        <w:jc w:val="both"/>
      </w:pPr>
      <w:r w:rsidRPr="00E80431">
        <w:t>2004-2011</w:t>
      </w:r>
      <w:r w:rsidRPr="00E80431">
        <w:tab/>
      </w:r>
      <w:r w:rsidRPr="00E80431">
        <w:tab/>
        <w:t>Chair of Scientific Board, Member- Board of Directors, KAI Pharmaceuticals</w:t>
      </w:r>
    </w:p>
    <w:p w14:paraId="79F11E83" w14:textId="77777777" w:rsidR="00382B2D" w:rsidRPr="00E80431" w:rsidRDefault="00382B2D" w:rsidP="00382B2D">
      <w:pPr>
        <w:tabs>
          <w:tab w:val="left" w:pos="1440"/>
        </w:tabs>
        <w:ind w:left="1535" w:hanging="1520"/>
        <w:jc w:val="both"/>
      </w:pPr>
      <w:r w:rsidRPr="00E80431">
        <w:t>2004-2009</w:t>
      </w:r>
      <w:r w:rsidRPr="00E80431">
        <w:tab/>
        <w:t>Professor (by Courtesy), Department of Neurosurgery, Stanford University</w:t>
      </w:r>
    </w:p>
    <w:p w14:paraId="322C8C97" w14:textId="77777777" w:rsidR="00382B2D" w:rsidRPr="00E80431" w:rsidRDefault="00382B2D" w:rsidP="00382B2D">
      <w:pPr>
        <w:tabs>
          <w:tab w:val="left" w:pos="1440"/>
        </w:tabs>
        <w:ind w:left="15"/>
        <w:jc w:val="both"/>
      </w:pPr>
      <w:r w:rsidRPr="00E80431">
        <w:t xml:space="preserve">2003-present </w:t>
      </w:r>
      <w:r w:rsidRPr="00E80431">
        <w:tab/>
        <w:t xml:space="preserve">Endowed Chair for Research, The George D. Smith Professor in Translational Medicine </w:t>
      </w:r>
    </w:p>
    <w:p w14:paraId="721A4037" w14:textId="77777777" w:rsidR="00382B2D" w:rsidRPr="00E80431" w:rsidRDefault="00382B2D" w:rsidP="00382B2D">
      <w:pPr>
        <w:tabs>
          <w:tab w:val="left" w:pos="1350"/>
        </w:tabs>
        <w:ind w:left="1440" w:hanging="1520"/>
        <w:jc w:val="both"/>
      </w:pPr>
      <w:r w:rsidRPr="00E80431">
        <w:t xml:space="preserve">  2002-</w:t>
      </w:r>
      <w:r>
        <w:t xml:space="preserve">2020   </w:t>
      </w:r>
      <w:r w:rsidRPr="00E80431">
        <w:t>Member, Stanford Institute for Neuro-Innovation and Translational Neurosciences (SINTN), Stanford University</w:t>
      </w:r>
    </w:p>
    <w:p w14:paraId="741E6321" w14:textId="77777777" w:rsidR="00382B2D" w:rsidRPr="00E80431" w:rsidRDefault="00382B2D" w:rsidP="00382B2D">
      <w:pPr>
        <w:tabs>
          <w:tab w:val="left" w:pos="1440"/>
        </w:tabs>
        <w:ind w:left="15"/>
        <w:jc w:val="both"/>
      </w:pPr>
      <w:r w:rsidRPr="00E80431">
        <w:t xml:space="preserve">2002-present </w:t>
      </w:r>
      <w:r w:rsidRPr="00E80431">
        <w:tab/>
        <w:t>Member, Cardiovascular Institute (CVI), Stanford University</w:t>
      </w:r>
    </w:p>
    <w:p w14:paraId="4CCDF16F" w14:textId="77777777" w:rsidR="00382B2D" w:rsidRPr="00E80431" w:rsidRDefault="00382B2D" w:rsidP="00382B2D">
      <w:pPr>
        <w:tabs>
          <w:tab w:val="left" w:pos="1440"/>
        </w:tabs>
        <w:ind w:left="15"/>
        <w:jc w:val="both"/>
      </w:pPr>
      <w:r w:rsidRPr="00E80431">
        <w:t>2002-2006</w:t>
      </w:r>
      <w:r w:rsidRPr="00E80431">
        <w:tab/>
        <w:t>Chair, Dept of Molecular Pharmacology (Chemical &amp; Systems Biology), Stanford University</w:t>
      </w:r>
    </w:p>
    <w:p w14:paraId="13B40053" w14:textId="77777777" w:rsidR="00382B2D" w:rsidRPr="00E80431" w:rsidRDefault="00382B2D" w:rsidP="00382B2D">
      <w:pPr>
        <w:tabs>
          <w:tab w:val="left" w:pos="1350"/>
        </w:tabs>
        <w:ind w:left="1440" w:hanging="1425"/>
        <w:jc w:val="both"/>
      </w:pPr>
      <w:r w:rsidRPr="00E80431">
        <w:t xml:space="preserve">2001-present </w:t>
      </w:r>
      <w:r w:rsidRPr="00E80431">
        <w:tab/>
        <w:t>Professor, Department of Chemical and Systems Biology (formerly, Molecular Pharmacology), Stanford University School of Medicine</w:t>
      </w:r>
    </w:p>
    <w:p w14:paraId="7B7D3130" w14:textId="77777777" w:rsidR="00382B2D" w:rsidRPr="00E80431" w:rsidRDefault="00382B2D" w:rsidP="00382B2D">
      <w:pPr>
        <w:tabs>
          <w:tab w:val="left" w:pos="1440"/>
        </w:tabs>
        <w:ind w:left="1535" w:hanging="1520"/>
        <w:jc w:val="both"/>
      </w:pPr>
      <w:r w:rsidRPr="00E80431">
        <w:t>2001-2002</w:t>
      </w:r>
      <w:r w:rsidRPr="00E80431">
        <w:tab/>
        <w:t>Chief, Division of Chemical Biology, Stanford University</w:t>
      </w:r>
    </w:p>
    <w:p w14:paraId="0CD4F1C1" w14:textId="77777777" w:rsidR="00382B2D" w:rsidRPr="00E80431" w:rsidRDefault="00382B2D" w:rsidP="00382B2D">
      <w:pPr>
        <w:tabs>
          <w:tab w:val="left" w:pos="1440"/>
        </w:tabs>
        <w:ind w:left="15"/>
        <w:jc w:val="both"/>
      </w:pPr>
      <w:r w:rsidRPr="00E80431">
        <w:t>1996-2006</w:t>
      </w:r>
      <w:r w:rsidRPr="00E80431">
        <w:tab/>
        <w:t>Affiliated Member, Ernest Gallo Clinic &amp; Research Center, UC San Francisco</w:t>
      </w:r>
    </w:p>
    <w:p w14:paraId="604B4191" w14:textId="77777777" w:rsidR="00382B2D" w:rsidRPr="00E80431" w:rsidRDefault="00382B2D" w:rsidP="00382B2D">
      <w:pPr>
        <w:tabs>
          <w:tab w:val="left" w:pos="1440"/>
        </w:tabs>
        <w:ind w:left="1440" w:hanging="1440"/>
        <w:jc w:val="both"/>
      </w:pPr>
      <w:r w:rsidRPr="00E80431">
        <w:t>1996-2002</w:t>
      </w:r>
      <w:r w:rsidRPr="00E80431">
        <w:tab/>
        <w:t>Member, Human Biology Program, Stanford University School of Medicine</w:t>
      </w:r>
    </w:p>
    <w:p w14:paraId="421F4A51" w14:textId="77777777" w:rsidR="00382B2D" w:rsidRPr="00E80431" w:rsidRDefault="00382B2D" w:rsidP="00382B2D">
      <w:pPr>
        <w:tabs>
          <w:tab w:val="left" w:pos="1440"/>
        </w:tabs>
        <w:jc w:val="both"/>
      </w:pPr>
      <w:r w:rsidRPr="00E80431">
        <w:t xml:space="preserve">1996-2001 </w:t>
      </w:r>
      <w:r w:rsidRPr="00E80431">
        <w:tab/>
        <w:t>Endowed Chair for teaching: The Reed-Hodgson Professor in Human Biology</w:t>
      </w:r>
    </w:p>
    <w:p w14:paraId="4572DBD1" w14:textId="77777777" w:rsidR="00382B2D" w:rsidRPr="00E80431" w:rsidRDefault="00382B2D" w:rsidP="00382B2D">
      <w:pPr>
        <w:jc w:val="both"/>
      </w:pPr>
      <w:r w:rsidRPr="00E80431">
        <w:t>1994</w:t>
      </w:r>
      <w:r w:rsidRPr="00E80431">
        <w:tab/>
      </w:r>
      <w:r w:rsidRPr="00E80431">
        <w:tab/>
        <w:t>Burroughs Wellcome Foundation Visiting Professor in the Medical Sciences</w:t>
      </w:r>
    </w:p>
    <w:p w14:paraId="6267CB52" w14:textId="77777777" w:rsidR="00382B2D" w:rsidRPr="00E80431" w:rsidRDefault="00382B2D" w:rsidP="00382B2D">
      <w:pPr>
        <w:jc w:val="both"/>
      </w:pPr>
      <w:r w:rsidRPr="00E80431">
        <w:t>1993-present</w:t>
      </w:r>
      <w:r w:rsidRPr="00E80431">
        <w:tab/>
        <w:t>Member, Neuroscience Program, Stanford University School of Medicine</w:t>
      </w:r>
    </w:p>
    <w:p w14:paraId="42F0064B" w14:textId="77777777" w:rsidR="00382B2D" w:rsidRPr="00E80431" w:rsidRDefault="00382B2D" w:rsidP="00382B2D">
      <w:pPr>
        <w:jc w:val="both"/>
      </w:pPr>
      <w:r w:rsidRPr="00E80431">
        <w:lastRenderedPageBreak/>
        <w:t>1993-2000</w:t>
      </w:r>
      <w:r w:rsidRPr="00E80431">
        <w:tab/>
        <w:t>Associate Professor, Molecular Pharmacology, Stanford University School of Medicine</w:t>
      </w:r>
    </w:p>
    <w:p w14:paraId="0D2E4E9B" w14:textId="77777777" w:rsidR="00382B2D" w:rsidRPr="00E80431" w:rsidRDefault="00382B2D" w:rsidP="00382B2D">
      <w:pPr>
        <w:jc w:val="both"/>
        <w:rPr>
          <w:b/>
        </w:rPr>
      </w:pPr>
      <w:r w:rsidRPr="00E80431">
        <w:t>1988-present</w:t>
      </w:r>
      <w:r w:rsidRPr="00E80431">
        <w:tab/>
        <w:t>Member, American Society for Biochemistry and Molecular Biology (ASBMB)</w:t>
      </w:r>
    </w:p>
    <w:p w14:paraId="448A3E3D" w14:textId="52F2A03C" w:rsidR="00382B2D" w:rsidRPr="00E80431" w:rsidRDefault="00382B2D" w:rsidP="00382B2D">
      <w:pPr>
        <w:tabs>
          <w:tab w:val="left" w:pos="1530"/>
          <w:tab w:val="left" w:pos="5220"/>
          <w:tab w:val="left" w:pos="7740"/>
        </w:tabs>
        <w:ind w:left="1440" w:hanging="1440"/>
        <w:jc w:val="both"/>
      </w:pPr>
      <w:r w:rsidRPr="00E80431">
        <w:t>1986-1992</w:t>
      </w:r>
      <w:r w:rsidRPr="00E80431">
        <w:tab/>
        <w:t xml:space="preserve">Fellow, Adjunct Assistant and Associate Professor, and Associate Professor in residence, Departments of Pharmacology &amp; Neurology, Gallo Research Center for alcohol and alcoholism research, Univ. CA, San Francisco </w:t>
      </w:r>
    </w:p>
    <w:p w14:paraId="06829144" w14:textId="77777777" w:rsidR="00382B2D" w:rsidRDefault="00382B2D" w:rsidP="00382B2D">
      <w:pPr>
        <w:pStyle w:val="h3underline"/>
        <w:spacing w:before="0" w:after="0"/>
        <w:jc w:val="both"/>
        <w:rPr>
          <w:rFonts w:ascii="Arial" w:eastAsia="Arial" w:hAnsi="Arial" w:cs="Arial"/>
          <w:sz w:val="22"/>
          <w:szCs w:val="22"/>
        </w:rPr>
      </w:pPr>
      <w:r w:rsidRPr="00E80431">
        <w:rPr>
          <w:rFonts w:ascii="Arial" w:eastAsia="Arial" w:hAnsi="Arial" w:cs="Arial"/>
          <w:sz w:val="22"/>
          <w:szCs w:val="22"/>
        </w:rPr>
        <w:t>Honors</w:t>
      </w:r>
    </w:p>
    <w:p w14:paraId="5A0B8EC8" w14:textId="77777777" w:rsidR="00382B2D" w:rsidRDefault="00382B2D" w:rsidP="00382B2D">
      <w:pPr>
        <w:pStyle w:val="h3underline"/>
        <w:spacing w:before="0" w:after="0"/>
        <w:jc w:val="both"/>
        <w:rPr>
          <w:rFonts w:ascii="Arial" w:eastAsia="Arial" w:hAnsi="Arial" w:cs="Arial"/>
          <w:b w:val="0"/>
          <w:bCs w:val="0"/>
          <w:sz w:val="22"/>
          <w:szCs w:val="22"/>
          <w:u w:val="none"/>
        </w:rPr>
      </w:pPr>
      <w:r>
        <w:rPr>
          <w:rFonts w:ascii="Arial" w:eastAsia="Arial" w:hAnsi="Arial" w:cs="Arial"/>
          <w:b w:val="0"/>
          <w:bCs w:val="0"/>
          <w:sz w:val="22"/>
          <w:szCs w:val="22"/>
          <w:u w:val="none"/>
        </w:rPr>
        <w:t>2025</w:t>
      </w:r>
      <w:r>
        <w:rPr>
          <w:rFonts w:ascii="Arial" w:eastAsia="Arial" w:hAnsi="Arial" w:cs="Arial"/>
          <w:b w:val="0"/>
          <w:bCs w:val="0"/>
          <w:sz w:val="22"/>
          <w:szCs w:val="22"/>
          <w:u w:val="none"/>
        </w:rPr>
        <w:tab/>
      </w:r>
      <w:r>
        <w:rPr>
          <w:rFonts w:ascii="Arial" w:eastAsia="Arial" w:hAnsi="Arial" w:cs="Arial"/>
          <w:b w:val="0"/>
          <w:bCs w:val="0"/>
          <w:sz w:val="22"/>
          <w:szCs w:val="22"/>
          <w:u w:val="none"/>
        </w:rPr>
        <w:tab/>
        <w:t>2025 ACTS Team Science Award for SPARK at Stanford</w:t>
      </w:r>
    </w:p>
    <w:p w14:paraId="08716786" w14:textId="77777777" w:rsidR="00382B2D" w:rsidRPr="002A7EA6" w:rsidRDefault="00382B2D" w:rsidP="00382B2D">
      <w:pPr>
        <w:pStyle w:val="h3underline"/>
        <w:spacing w:before="0" w:after="0"/>
        <w:jc w:val="both"/>
        <w:rPr>
          <w:rFonts w:ascii="Arial" w:hAnsi="Arial" w:cs="Arial"/>
          <w:b w:val="0"/>
          <w:bCs w:val="0"/>
          <w:sz w:val="22"/>
          <w:szCs w:val="22"/>
          <w:u w:val="none"/>
        </w:rPr>
      </w:pPr>
      <w:r w:rsidRPr="00095FD2">
        <w:rPr>
          <w:rFonts w:ascii="Arial" w:eastAsia="Arial" w:hAnsi="Arial" w:cs="Arial"/>
          <w:b w:val="0"/>
          <w:bCs w:val="0"/>
          <w:sz w:val="22"/>
          <w:szCs w:val="22"/>
          <w:u w:val="none"/>
        </w:rPr>
        <w:t>2022</w:t>
      </w:r>
      <w:r w:rsidRPr="00095FD2">
        <w:rPr>
          <w:rFonts w:ascii="Arial" w:eastAsia="Arial" w:hAnsi="Arial" w:cs="Arial"/>
          <w:b w:val="0"/>
          <w:bCs w:val="0"/>
          <w:sz w:val="22"/>
          <w:szCs w:val="22"/>
          <w:u w:val="none"/>
        </w:rPr>
        <w:tab/>
      </w:r>
      <w:r w:rsidRPr="00095FD2">
        <w:rPr>
          <w:rFonts w:ascii="Arial" w:eastAsia="Arial" w:hAnsi="Arial" w:cs="Arial"/>
          <w:b w:val="0"/>
          <w:bCs w:val="0"/>
          <w:sz w:val="22"/>
          <w:szCs w:val="22"/>
          <w:u w:val="none"/>
        </w:rPr>
        <w:tab/>
        <w:t>California Life Science PANTHEON AWARD – for SPARK innovation</w:t>
      </w:r>
    </w:p>
    <w:p w14:paraId="019D437E" w14:textId="77777777" w:rsidR="00382B2D" w:rsidRPr="00E80431" w:rsidRDefault="00382B2D" w:rsidP="00382B2D">
      <w:pPr>
        <w:tabs>
          <w:tab w:val="left" w:pos="1350"/>
        </w:tabs>
        <w:jc w:val="both"/>
      </w:pPr>
      <w:r w:rsidRPr="00E80431">
        <w:t>2021</w:t>
      </w:r>
      <w:r w:rsidRPr="00E80431">
        <w:tab/>
        <w:t xml:space="preserve"> Awarded</w:t>
      </w:r>
      <w:r>
        <w:t xml:space="preserve"> -</w:t>
      </w:r>
      <w:r w:rsidRPr="00E80431">
        <w:t xml:space="preserve"> Lemieux Biotechnology Lecture at the University of Alberta, Canada</w:t>
      </w:r>
    </w:p>
    <w:p w14:paraId="0932FB04" w14:textId="77777777" w:rsidR="00382B2D" w:rsidRPr="00E80431" w:rsidRDefault="00382B2D" w:rsidP="00382B2D">
      <w:pPr>
        <w:tabs>
          <w:tab w:val="left" w:pos="1440"/>
        </w:tabs>
        <w:jc w:val="both"/>
      </w:pPr>
      <w:r w:rsidRPr="00E80431">
        <w:t>2021</w:t>
      </w:r>
      <w:r w:rsidRPr="00E80431">
        <w:tab/>
        <w:t>Keynote Speaker, Higher Order Structure (HOS) Symposium, CASSS</w:t>
      </w:r>
    </w:p>
    <w:p w14:paraId="03D46B73" w14:textId="77777777" w:rsidR="00382B2D" w:rsidRPr="00E80431" w:rsidRDefault="00382B2D" w:rsidP="00382B2D">
      <w:pPr>
        <w:tabs>
          <w:tab w:val="left" w:pos="1440"/>
        </w:tabs>
        <w:jc w:val="both"/>
      </w:pPr>
      <w:r w:rsidRPr="00E80431">
        <w:t>2020</w:t>
      </w:r>
      <w:r w:rsidRPr="00E80431">
        <w:tab/>
        <w:t xml:space="preserve">National Xconomy Award for Ecosystem Development – for my leadership of </w:t>
      </w:r>
      <w:r>
        <w:t xml:space="preserve">the </w:t>
      </w:r>
      <w:r w:rsidRPr="00E80431">
        <w:t xml:space="preserve">SPARK Program </w:t>
      </w:r>
    </w:p>
    <w:p w14:paraId="072AD317" w14:textId="77777777" w:rsidR="00382B2D" w:rsidRPr="00E80431" w:rsidRDefault="00382B2D" w:rsidP="00382B2D">
      <w:pPr>
        <w:tabs>
          <w:tab w:val="left" w:pos="810"/>
          <w:tab w:val="left" w:pos="1440"/>
        </w:tabs>
        <w:jc w:val="both"/>
      </w:pPr>
      <w:r w:rsidRPr="00E80431">
        <w:t>2020</w:t>
      </w:r>
      <w:r w:rsidRPr="00E80431">
        <w:tab/>
      </w:r>
      <w:r>
        <w:t xml:space="preserve">          </w:t>
      </w:r>
      <w:r w:rsidRPr="00E80431">
        <w:t xml:space="preserve">Patient Impact Award, Cures Within Reach – for my leadership of </w:t>
      </w:r>
      <w:r>
        <w:t xml:space="preserve">the </w:t>
      </w:r>
      <w:r w:rsidRPr="00E80431">
        <w:t xml:space="preserve">SPARK Program </w:t>
      </w:r>
    </w:p>
    <w:p w14:paraId="10F0CCF2" w14:textId="77777777" w:rsidR="00382B2D" w:rsidRPr="00E80431" w:rsidRDefault="00382B2D" w:rsidP="00382B2D">
      <w:pPr>
        <w:tabs>
          <w:tab w:val="left" w:pos="1440"/>
        </w:tabs>
        <w:jc w:val="both"/>
      </w:pPr>
      <w:r w:rsidRPr="00E80431">
        <w:t>2020</w:t>
      </w:r>
      <w:r w:rsidRPr="00E80431">
        <w:tab/>
        <w:t>Keynote Speaker, License Executives Society (LES)</w:t>
      </w:r>
    </w:p>
    <w:p w14:paraId="00F328DC" w14:textId="77777777" w:rsidR="00382B2D" w:rsidRPr="00E80431" w:rsidRDefault="00382B2D" w:rsidP="00382B2D">
      <w:pPr>
        <w:tabs>
          <w:tab w:val="left" w:pos="1440"/>
        </w:tabs>
        <w:jc w:val="both"/>
      </w:pPr>
      <w:r w:rsidRPr="00E80431">
        <w:t>2019</w:t>
      </w:r>
      <w:r w:rsidRPr="00E80431">
        <w:tab/>
        <w:t>Awardee, Accelerate Australia Ecosystem Leadership Award</w:t>
      </w:r>
    </w:p>
    <w:p w14:paraId="0B733FF4" w14:textId="77777777" w:rsidR="00382B2D" w:rsidRPr="00E80431" w:rsidRDefault="00382B2D" w:rsidP="00382B2D">
      <w:pPr>
        <w:tabs>
          <w:tab w:val="left" w:pos="1440"/>
        </w:tabs>
        <w:jc w:val="both"/>
      </w:pPr>
      <w:r w:rsidRPr="00E80431">
        <w:t>2019</w:t>
      </w:r>
      <w:r w:rsidRPr="00E80431">
        <w:tab/>
        <w:t>Distinguished Speaker, UCLA CTSI</w:t>
      </w:r>
    </w:p>
    <w:p w14:paraId="5F691C10" w14:textId="77777777" w:rsidR="00382B2D" w:rsidRPr="00E80431" w:rsidRDefault="00382B2D" w:rsidP="00382B2D">
      <w:pPr>
        <w:tabs>
          <w:tab w:val="left" w:pos="1440"/>
        </w:tabs>
        <w:jc w:val="both"/>
      </w:pPr>
      <w:r w:rsidRPr="00E80431">
        <w:t>2016</w:t>
      </w:r>
      <w:r w:rsidRPr="00E80431">
        <w:tab/>
        <w:t>NUtech Ventures Keynote Speaker, University of Nebraska (Lincoln)</w:t>
      </w:r>
    </w:p>
    <w:p w14:paraId="5E668A25" w14:textId="77777777" w:rsidR="00382B2D" w:rsidRPr="00E80431" w:rsidRDefault="00382B2D" w:rsidP="00382B2D">
      <w:pPr>
        <w:tabs>
          <w:tab w:val="left" w:pos="1440"/>
        </w:tabs>
        <w:jc w:val="both"/>
      </w:pPr>
      <w:r w:rsidRPr="00E80431">
        <w:t>2015</w:t>
      </w:r>
      <w:r w:rsidRPr="00E80431">
        <w:tab/>
        <w:t>Speaker, TEDMED talk (November) in the session “Catalyzing Great Science”</w:t>
      </w:r>
    </w:p>
    <w:p w14:paraId="1ECEA2B5" w14:textId="77777777" w:rsidR="00382B2D" w:rsidRPr="00E80431" w:rsidRDefault="00382B2D" w:rsidP="00382B2D">
      <w:pPr>
        <w:tabs>
          <w:tab w:val="left" w:pos="1440"/>
        </w:tabs>
        <w:jc w:val="both"/>
      </w:pPr>
      <w:r w:rsidRPr="00E80431">
        <w:t>2013</w:t>
      </w:r>
      <w:r w:rsidRPr="00E80431">
        <w:tab/>
        <w:t>Presidential Lecturer, International Symposium on Cerebral Blood Flow, Metabolism &amp; Function</w:t>
      </w:r>
    </w:p>
    <w:p w14:paraId="7844B77E" w14:textId="77777777" w:rsidR="00382B2D" w:rsidRPr="00E80431" w:rsidRDefault="00382B2D" w:rsidP="00382B2D">
      <w:pPr>
        <w:tabs>
          <w:tab w:val="left" w:pos="1440"/>
        </w:tabs>
        <w:jc w:val="both"/>
      </w:pPr>
      <w:r w:rsidRPr="00E80431">
        <w:t>2012</w:t>
      </w:r>
      <w:r w:rsidRPr="00E80431">
        <w:tab/>
        <w:t>Janice Pfeffer Distinguished Lecturer Award, International Society for Heart Research (ISHR)</w:t>
      </w:r>
    </w:p>
    <w:p w14:paraId="7F405062" w14:textId="77777777" w:rsidR="00382B2D" w:rsidRPr="00E80431" w:rsidRDefault="00382B2D" w:rsidP="00382B2D">
      <w:pPr>
        <w:tabs>
          <w:tab w:val="left" w:pos="1440"/>
        </w:tabs>
        <w:jc w:val="both"/>
      </w:pPr>
      <w:r w:rsidRPr="00E80431">
        <w:t>2005</w:t>
      </w:r>
      <w:r w:rsidRPr="00E80431">
        <w:tab/>
        <w:t>The George D. Smith Professor of Translational Medicine, Stanford School of Medicine</w:t>
      </w:r>
    </w:p>
    <w:p w14:paraId="6158CA4B" w14:textId="77777777" w:rsidR="00382B2D" w:rsidRPr="00E80431" w:rsidRDefault="00382B2D" w:rsidP="00382B2D">
      <w:pPr>
        <w:tabs>
          <w:tab w:val="left" w:pos="1440"/>
        </w:tabs>
        <w:jc w:val="both"/>
      </w:pPr>
      <w:r w:rsidRPr="00E80431">
        <w:t xml:space="preserve">2001 </w:t>
      </w:r>
      <w:r w:rsidRPr="00E80431">
        <w:tab/>
        <w:t>Founding Fellow, International Society of Heart Research (ISHR)</w:t>
      </w:r>
    </w:p>
    <w:p w14:paraId="2655817B" w14:textId="77777777" w:rsidR="00382B2D" w:rsidRPr="00E80431" w:rsidRDefault="00382B2D" w:rsidP="00382B2D">
      <w:pPr>
        <w:tabs>
          <w:tab w:val="left" w:pos="1440"/>
        </w:tabs>
        <w:jc w:val="both"/>
      </w:pPr>
      <w:r w:rsidRPr="00E80431">
        <w:t>1990</w:t>
      </w:r>
      <w:r w:rsidRPr="00E80431">
        <w:tab/>
        <w:t>Basil O'Connor Scholar Research Award</w:t>
      </w:r>
    </w:p>
    <w:p w14:paraId="3955042E" w14:textId="77777777" w:rsidR="00382B2D" w:rsidRPr="00E80431" w:rsidRDefault="00382B2D" w:rsidP="00382B2D">
      <w:pPr>
        <w:tabs>
          <w:tab w:val="left" w:pos="1440"/>
        </w:tabs>
        <w:jc w:val="both"/>
      </w:pPr>
      <w:r w:rsidRPr="00E80431">
        <w:t>1983</w:t>
      </w:r>
      <w:r w:rsidRPr="00E80431">
        <w:tab/>
        <w:t>The Weizmann International Postdoctoral Award</w:t>
      </w:r>
    </w:p>
    <w:p w14:paraId="0D8E30E8" w14:textId="77777777" w:rsidR="00382B2D" w:rsidRPr="00E80431" w:rsidRDefault="00382B2D" w:rsidP="00382B2D">
      <w:pPr>
        <w:tabs>
          <w:tab w:val="left" w:pos="1440"/>
        </w:tabs>
        <w:jc w:val="both"/>
      </w:pPr>
      <w:r w:rsidRPr="00E80431">
        <w:t>1982</w:t>
      </w:r>
      <w:r w:rsidRPr="00E80431">
        <w:tab/>
        <w:t xml:space="preserve">The Feinberg Graduate School Scholar Prize, Weizmann Institute of Science </w:t>
      </w:r>
    </w:p>
    <w:p w14:paraId="7CF70AFB" w14:textId="5B08CFB9" w:rsidR="00462CCC" w:rsidRDefault="006162F0">
      <w:pPr>
        <w:pStyle w:val="Heading3"/>
        <w:rPr>
          <w:rFonts w:ascii="Arial" w:eastAsia="Arial" w:hAnsi="Arial" w:cs="Arial"/>
          <w:sz w:val="22"/>
          <w:szCs w:val="22"/>
        </w:rPr>
      </w:pPr>
      <w:r w:rsidRPr="0080034C">
        <w:rPr>
          <w:rFonts w:ascii="Arial" w:eastAsia="Arial" w:hAnsi="Arial" w:cs="Arial"/>
          <w:sz w:val="22"/>
          <w:szCs w:val="22"/>
        </w:rPr>
        <w:t>C. Contribution to Science</w:t>
      </w:r>
    </w:p>
    <w:p w14:paraId="7C15C7B1" w14:textId="77777777" w:rsidR="00053D28" w:rsidRPr="00053D28" w:rsidRDefault="00053D28" w:rsidP="00053D28">
      <w:pPr>
        <w:spacing w:line="120" w:lineRule="auto"/>
      </w:pPr>
    </w:p>
    <w:p w14:paraId="6A9AC92F" w14:textId="5F5CA5E5" w:rsidR="00053D28" w:rsidRDefault="005E138D" w:rsidP="00A77261">
      <w:pPr>
        <w:pStyle w:val="ListParagraph"/>
        <w:numPr>
          <w:ilvl w:val="0"/>
          <w:numId w:val="27"/>
        </w:numPr>
        <w:ind w:left="270" w:hanging="270"/>
        <w:jc w:val="both"/>
      </w:pPr>
      <w:r>
        <w:t>We</w:t>
      </w:r>
      <w:r w:rsidR="00053D28">
        <w:t xml:space="preserve"> have begun working on glucose 6-phosphate dehydrogenase (G6PD) deficiency and its contribution to bilirubin-induced kernicterus. We have already characterized many common human mutations and obtained </w:t>
      </w:r>
      <w:r w:rsidR="00A77261">
        <w:t xml:space="preserve">the </w:t>
      </w:r>
      <w:r w:rsidR="00053D28">
        <w:t xml:space="preserve">crystal structure of </w:t>
      </w:r>
      <w:r w:rsidR="00A77261">
        <w:t xml:space="preserve">the </w:t>
      </w:r>
      <w:r w:rsidR="00053D28">
        <w:t>wild</w:t>
      </w:r>
      <w:r w:rsidR="00A77261">
        <w:t>-</w:t>
      </w:r>
      <w:r w:rsidR="00053D28">
        <w:t xml:space="preserve">type (WT) enzyme and one of the common mutants (Canton). We also set forward a research effort to </w:t>
      </w:r>
      <w:r w:rsidR="00053D28" w:rsidRPr="00053D28">
        <w:rPr>
          <w:i/>
          <w:iCs/>
        </w:rPr>
        <w:t>correct</w:t>
      </w:r>
      <w:r w:rsidR="00053D28">
        <w:t xml:space="preserve"> the structural defects in G6PD in several common human mutant G6PDs. Identifying an activator of an enzyme is considered a hard task, rarely achieved in the pharmaceutical industry. Even less common is identifying a small molecule that corrects a structural defect in an enzyme. What is unique about our work is that not only </w:t>
      </w:r>
      <w:r w:rsidR="00A77261">
        <w:t>have w</w:t>
      </w:r>
      <w:r w:rsidR="00053D28">
        <w:t xml:space="preserve">e identified AG1, an </w:t>
      </w:r>
      <w:r w:rsidR="00053D28" w:rsidRPr="00053D28">
        <w:rPr>
          <w:i/>
          <w:iCs/>
        </w:rPr>
        <w:t>activator</w:t>
      </w:r>
      <w:r w:rsidR="00053D28">
        <w:t xml:space="preserve"> of WT G6PD, but AG1 </w:t>
      </w:r>
      <w:r w:rsidR="00A77261">
        <w:t xml:space="preserve">also </w:t>
      </w:r>
      <w:r w:rsidR="00053D28">
        <w:t>improves the structural defect of several common human mutations and increases their catalytic activity. We have also established a medicinal chemistry effort to improve the pharmacological properties of AG.</w:t>
      </w:r>
    </w:p>
    <w:p w14:paraId="49C55D1C" w14:textId="77777777" w:rsidR="00053D28" w:rsidRDefault="00053D28" w:rsidP="00053D28">
      <w:pPr>
        <w:spacing w:line="120" w:lineRule="auto"/>
        <w:ind w:left="274" w:hanging="274"/>
        <w:jc w:val="both"/>
      </w:pPr>
    </w:p>
    <w:p w14:paraId="4F2501E4" w14:textId="387EECC8" w:rsidR="00053D28" w:rsidRPr="00147F37" w:rsidRDefault="00053D28" w:rsidP="008B175C">
      <w:pPr>
        <w:pStyle w:val="ListParagraph"/>
        <w:numPr>
          <w:ilvl w:val="0"/>
          <w:numId w:val="29"/>
        </w:numPr>
        <w:tabs>
          <w:tab w:val="left" w:pos="1080"/>
        </w:tabs>
        <w:autoSpaceDE w:val="0"/>
        <w:autoSpaceDN w:val="0"/>
        <w:jc w:val="both"/>
        <w:rPr>
          <w:color w:val="000000" w:themeColor="text1"/>
        </w:rPr>
      </w:pPr>
      <w:r w:rsidRPr="00147F37">
        <w:rPr>
          <w:color w:val="000000" w:themeColor="text1"/>
        </w:rPr>
        <w:t xml:space="preserve">Cunningham AD, Colavin A, Huang KC, </w:t>
      </w:r>
      <w:r w:rsidRPr="00147F37">
        <w:rPr>
          <w:b/>
          <w:bCs/>
          <w:color w:val="000000" w:themeColor="text1"/>
        </w:rPr>
        <w:t>MOCHLY-ROSEN D</w:t>
      </w:r>
      <w:r w:rsidRPr="00147F37">
        <w:rPr>
          <w:color w:val="000000" w:themeColor="text1"/>
        </w:rPr>
        <w:t xml:space="preserve">. Coupling between protein stability and catalytic activity determines pathogenicity of G6PD variants. </w:t>
      </w:r>
      <w:r w:rsidRPr="00147F37">
        <w:rPr>
          <w:b/>
          <w:bCs/>
          <w:i/>
          <w:iCs/>
          <w:color w:val="000000" w:themeColor="text1"/>
        </w:rPr>
        <w:t>Cell Report</w:t>
      </w:r>
      <w:r w:rsidRPr="00147F37">
        <w:rPr>
          <w:color w:val="000000" w:themeColor="text1"/>
        </w:rPr>
        <w:t xml:space="preserve"> 2017;</w:t>
      </w:r>
      <w:r w:rsidR="00DA0B1D" w:rsidRPr="00147F37">
        <w:rPr>
          <w:color w:val="000000" w:themeColor="text1"/>
        </w:rPr>
        <w:t xml:space="preserve"> </w:t>
      </w:r>
      <w:r w:rsidRPr="00147F37">
        <w:rPr>
          <w:color w:val="000000" w:themeColor="text1"/>
          <w:u w:val="single"/>
        </w:rPr>
        <w:t>18</w:t>
      </w:r>
      <w:r w:rsidRPr="00147F37">
        <w:rPr>
          <w:color w:val="000000" w:themeColor="text1"/>
        </w:rPr>
        <w:t>:2592-2599. PMCID: PMC5396575</w:t>
      </w:r>
    </w:p>
    <w:p w14:paraId="59C65E4B" w14:textId="77CAE3C2" w:rsidR="00053D28" w:rsidRPr="00147F37" w:rsidRDefault="00053D28" w:rsidP="008B175C">
      <w:pPr>
        <w:pStyle w:val="ListParagraph"/>
        <w:numPr>
          <w:ilvl w:val="0"/>
          <w:numId w:val="29"/>
        </w:numPr>
        <w:tabs>
          <w:tab w:val="left" w:pos="1080"/>
        </w:tabs>
        <w:jc w:val="both"/>
        <w:rPr>
          <w:color w:val="000000" w:themeColor="text1"/>
        </w:rPr>
      </w:pPr>
      <w:r w:rsidRPr="00147F37">
        <w:rPr>
          <w:color w:val="000000" w:themeColor="text1"/>
        </w:rPr>
        <w:t xml:space="preserve">Cunningham AD, </w:t>
      </w:r>
      <w:r w:rsidRPr="00147F37">
        <w:rPr>
          <w:b/>
          <w:bCs/>
          <w:color w:val="000000" w:themeColor="text1"/>
        </w:rPr>
        <w:t>MOCHLY-ROSEN D</w:t>
      </w:r>
      <w:r w:rsidRPr="00147F37">
        <w:rPr>
          <w:color w:val="000000" w:themeColor="text1"/>
        </w:rPr>
        <w:t xml:space="preserve">. Structural analysis of clinically relevant pathogenic G6PD variants reveals the importance of tetramerization for G6PD activity. </w:t>
      </w:r>
      <w:r w:rsidRPr="00147F37">
        <w:rPr>
          <w:b/>
          <w:bCs/>
          <w:i/>
          <w:iCs/>
          <w:color w:val="000000" w:themeColor="text1"/>
        </w:rPr>
        <w:t>Matters</w:t>
      </w:r>
      <w:r w:rsidRPr="00147F37">
        <w:rPr>
          <w:color w:val="000000" w:themeColor="text1"/>
        </w:rPr>
        <w:t xml:space="preserve"> (Zur). 2017</w:t>
      </w:r>
      <w:r w:rsidR="00D36459" w:rsidRPr="00147F37">
        <w:rPr>
          <w:color w:val="000000" w:themeColor="text1"/>
        </w:rPr>
        <w:t xml:space="preserve">; </w:t>
      </w:r>
      <w:r w:rsidR="005A015C" w:rsidRPr="00147F37">
        <w:rPr>
          <w:color w:val="000000" w:themeColor="text1"/>
        </w:rPr>
        <w:t xml:space="preserve">101985/matters.201705000008. </w:t>
      </w:r>
      <w:r w:rsidRPr="00147F37">
        <w:rPr>
          <w:color w:val="000000" w:themeColor="text1"/>
        </w:rPr>
        <w:t xml:space="preserve">PMCID: PMC6105287 </w:t>
      </w:r>
    </w:p>
    <w:p w14:paraId="2A1C549D" w14:textId="784E904A" w:rsidR="00053D28" w:rsidRPr="00147F37" w:rsidRDefault="00053D28" w:rsidP="008B175C">
      <w:pPr>
        <w:pStyle w:val="ListParagraph"/>
        <w:numPr>
          <w:ilvl w:val="0"/>
          <w:numId w:val="29"/>
        </w:numPr>
        <w:tabs>
          <w:tab w:val="left" w:pos="1080"/>
        </w:tabs>
        <w:jc w:val="both"/>
        <w:rPr>
          <w:b/>
          <w:bCs/>
          <w:color w:val="000000" w:themeColor="text1"/>
        </w:rPr>
      </w:pPr>
      <w:r w:rsidRPr="00147F37">
        <w:rPr>
          <w:color w:val="000000" w:themeColor="text1"/>
        </w:rPr>
        <w:t xml:space="preserve">Hwang S, Mruk K, Rahighi S, Raub AG, Chen CH, Dorn LE, Horikoshi N, Wakatsuki S, Chen JK, </w:t>
      </w:r>
      <w:r w:rsidRPr="00147F37">
        <w:rPr>
          <w:b/>
          <w:bCs/>
          <w:color w:val="000000" w:themeColor="text1"/>
        </w:rPr>
        <w:t>MOCHLY-ROSEN D</w:t>
      </w:r>
      <w:r w:rsidRPr="00147F37">
        <w:rPr>
          <w:color w:val="000000" w:themeColor="text1"/>
        </w:rPr>
        <w:t xml:space="preserve">. Correcting glucose-6-phosphate dehydrogenase deficiency with a small-molecule activator. </w:t>
      </w:r>
      <w:r w:rsidRPr="00147F37">
        <w:rPr>
          <w:b/>
          <w:bCs/>
          <w:i/>
          <w:iCs/>
          <w:color w:val="000000" w:themeColor="text1"/>
        </w:rPr>
        <w:t>Nature Commun.</w:t>
      </w:r>
      <w:r w:rsidRPr="00147F37">
        <w:rPr>
          <w:color w:val="000000" w:themeColor="text1"/>
        </w:rPr>
        <w:t xml:space="preserve"> 2018;</w:t>
      </w:r>
      <w:r w:rsidR="00DA0B1D" w:rsidRPr="00147F37">
        <w:rPr>
          <w:color w:val="000000" w:themeColor="text1"/>
        </w:rPr>
        <w:t xml:space="preserve"> </w:t>
      </w:r>
      <w:r w:rsidRPr="00147F37">
        <w:rPr>
          <w:color w:val="000000" w:themeColor="text1"/>
          <w:u w:val="single"/>
        </w:rPr>
        <w:t>9</w:t>
      </w:r>
      <w:r w:rsidRPr="00147F37">
        <w:rPr>
          <w:color w:val="000000" w:themeColor="text1"/>
        </w:rPr>
        <w:t>:4045. PMCID: PMC6168459</w:t>
      </w:r>
    </w:p>
    <w:p w14:paraId="1BE6DE0F" w14:textId="46855480" w:rsidR="00053D28" w:rsidRPr="00147F37" w:rsidRDefault="00053D28" w:rsidP="008B175C">
      <w:pPr>
        <w:pStyle w:val="ListParagraph"/>
        <w:numPr>
          <w:ilvl w:val="0"/>
          <w:numId w:val="29"/>
        </w:numPr>
        <w:tabs>
          <w:tab w:val="left" w:pos="1080"/>
        </w:tabs>
        <w:jc w:val="both"/>
        <w:rPr>
          <w:color w:val="000000" w:themeColor="text1"/>
        </w:rPr>
      </w:pPr>
      <w:r w:rsidRPr="00147F37">
        <w:rPr>
          <w:color w:val="000000" w:themeColor="text1"/>
        </w:rPr>
        <w:t xml:space="preserve">Raub AG, Hwang S, Horikoshi N, Cunningham AD, Rahighi S, Wakatsuki S, </w:t>
      </w:r>
      <w:r w:rsidRPr="00147F37">
        <w:rPr>
          <w:b/>
          <w:bCs/>
          <w:color w:val="000000" w:themeColor="text1"/>
        </w:rPr>
        <w:t>MOCHLY-ROSEN D</w:t>
      </w:r>
      <w:r w:rsidRPr="00147F37">
        <w:rPr>
          <w:color w:val="000000" w:themeColor="text1"/>
        </w:rPr>
        <w:t xml:space="preserve">. Small-molecule activators of glucose-6-phosphate dehydrogenase (G6PD) bridging the dimer interface. </w:t>
      </w:r>
      <w:r w:rsidRPr="00147F37">
        <w:rPr>
          <w:b/>
          <w:bCs/>
          <w:i/>
          <w:iCs/>
          <w:color w:val="000000" w:themeColor="text1"/>
        </w:rPr>
        <w:t>ChemMedChem.</w:t>
      </w:r>
      <w:r w:rsidRPr="00147F37">
        <w:rPr>
          <w:color w:val="000000" w:themeColor="text1"/>
        </w:rPr>
        <w:t xml:space="preserve"> 2019;</w:t>
      </w:r>
      <w:r w:rsidR="00DA0B1D" w:rsidRPr="00147F37">
        <w:rPr>
          <w:color w:val="000000" w:themeColor="text1"/>
        </w:rPr>
        <w:t xml:space="preserve"> </w:t>
      </w:r>
      <w:r w:rsidRPr="00147F37">
        <w:rPr>
          <w:color w:val="000000" w:themeColor="text1"/>
          <w:u w:val="single"/>
        </w:rPr>
        <w:t>14</w:t>
      </w:r>
      <w:r w:rsidRPr="00147F37">
        <w:rPr>
          <w:color w:val="000000" w:themeColor="text1"/>
        </w:rPr>
        <w:t>:1321-1324. PMCID: PMC6701841</w:t>
      </w:r>
    </w:p>
    <w:p w14:paraId="4CA4641A" w14:textId="77777777" w:rsidR="00053D28" w:rsidRPr="00053D28" w:rsidRDefault="00053D28" w:rsidP="00053D28">
      <w:pPr>
        <w:tabs>
          <w:tab w:val="left" w:pos="1080"/>
        </w:tabs>
        <w:ind w:left="634"/>
        <w:jc w:val="both"/>
        <w:rPr>
          <w:color w:val="000000" w:themeColor="text1"/>
        </w:rPr>
      </w:pPr>
    </w:p>
    <w:p w14:paraId="252FFCB3" w14:textId="761EC2E3" w:rsidR="00053D28" w:rsidRDefault="00053D28" w:rsidP="00767652">
      <w:pPr>
        <w:pStyle w:val="ListParagraph"/>
        <w:numPr>
          <w:ilvl w:val="0"/>
          <w:numId w:val="27"/>
        </w:numPr>
        <w:ind w:left="270" w:hanging="270"/>
        <w:jc w:val="both"/>
      </w:pPr>
      <w:r w:rsidRPr="00392ECF">
        <w:t xml:space="preserve">Our </w:t>
      </w:r>
      <w:r>
        <w:t xml:space="preserve">past </w:t>
      </w:r>
      <w:r w:rsidRPr="00392ECF">
        <w:t>research was the first to indicate the importance of protein-protein interaction</w:t>
      </w:r>
      <w:r>
        <w:t>s</w:t>
      </w:r>
      <w:r w:rsidRPr="00392ECF">
        <w:t xml:space="preserve"> in determining </w:t>
      </w:r>
      <w:r>
        <w:t xml:space="preserve">the </w:t>
      </w:r>
      <w:r w:rsidRPr="00392ECF">
        <w:t>selectivity of prot</w:t>
      </w:r>
      <w:r>
        <w:t xml:space="preserve">ein kinase C (PKC) signaling. The existing dogma in the field was that activation of PKC leads to its translocation to the plasma membrane, and that anchoring of PKC is mediated by </w:t>
      </w:r>
      <w:r w:rsidR="00945A67">
        <w:t>the enzyme’s binding</w:t>
      </w:r>
      <w:r>
        <w:t xml:space="preserve"> to specific lipids. We showed that PKC translocation is </w:t>
      </w:r>
      <w:r w:rsidR="00945A67">
        <w:t>mediated</w:t>
      </w:r>
      <w:r>
        <w:t xml:space="preserve"> by selective anchoring proteins, RACKs, and that the protein-protein interaction between activated members of the PKC family (isozyme</w:t>
      </w:r>
      <w:r w:rsidR="00945A67">
        <w:t>s</w:t>
      </w:r>
      <w:r>
        <w:t xml:space="preserve">) and their corresponding RACKs determines the functional selectivity of individual PKC isozymes. A second challenge in the field was the lack of proper pharmacological tools to study the role of PKC isozymes in normal </w:t>
      </w:r>
      <w:r>
        <w:lastRenderedPageBreak/>
        <w:t>and disease states. M</w:t>
      </w:r>
      <w:r w:rsidR="00945A67">
        <w:t>any</w:t>
      </w:r>
      <w:r>
        <w:t xml:space="preserve"> of the pharmacological tools used to study PKC were highly non-selective for the PKC family</w:t>
      </w:r>
      <w:r w:rsidR="00945A67">
        <w:t>,</w:t>
      </w:r>
      <w:r>
        <w:t xml:space="preserve"> and none exhibited high selectivity for individual members of the family. Using a rational approach, we generated protein-protein interaction inhibitory peptides that are highly isozyme-selective. These peptides provided </w:t>
      </w:r>
      <w:r w:rsidRPr="00392ECF">
        <w:t xml:space="preserve">the </w:t>
      </w:r>
      <w:r>
        <w:t xml:space="preserve">scientific </w:t>
      </w:r>
      <w:r w:rsidRPr="00392ECF">
        <w:t xml:space="preserve">community </w:t>
      </w:r>
      <w:r w:rsidR="00945A67">
        <w:t>with much-needed tools, contributing to several</w:t>
      </w:r>
      <w:r>
        <w:t xml:space="preserve"> </w:t>
      </w:r>
      <w:r w:rsidRPr="00392ECF">
        <w:t>hundred</w:t>
      </w:r>
      <w:r>
        <w:t xml:space="preserve"> </w:t>
      </w:r>
      <w:r w:rsidRPr="00392ECF">
        <w:t>publications worldwide</w:t>
      </w:r>
      <w:r>
        <w:t xml:space="preserve"> and three clinical trials.</w:t>
      </w:r>
    </w:p>
    <w:p w14:paraId="3CFE3187" w14:textId="77777777" w:rsidR="00053D28" w:rsidRDefault="00053D28" w:rsidP="00053D28">
      <w:pPr>
        <w:jc w:val="both"/>
      </w:pPr>
    </w:p>
    <w:p w14:paraId="7EBED1FE" w14:textId="04078F31" w:rsidR="00053D28" w:rsidRPr="00147F37" w:rsidRDefault="00053D28" w:rsidP="008B175C">
      <w:pPr>
        <w:pStyle w:val="ListParagraph"/>
        <w:widowControl w:val="0"/>
        <w:numPr>
          <w:ilvl w:val="0"/>
          <w:numId w:val="30"/>
        </w:numPr>
        <w:tabs>
          <w:tab w:val="left" w:pos="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Style w:val="pmid"/>
          <w:color w:val="000000" w:themeColor="text1"/>
        </w:rPr>
      </w:pPr>
      <w:r w:rsidRPr="00147F37">
        <w:rPr>
          <w:b/>
          <w:bCs/>
          <w:color w:val="000000" w:themeColor="text1"/>
        </w:rPr>
        <w:t>MOCHLY-ROSEN D</w:t>
      </w:r>
      <w:r w:rsidRPr="00147F37">
        <w:rPr>
          <w:color w:val="000000" w:themeColor="text1"/>
        </w:rPr>
        <w:t xml:space="preserve">. Localization of protein kinases by anchoring proteins: a theme in signal transduction. </w:t>
      </w:r>
      <w:r w:rsidRPr="00147F37">
        <w:rPr>
          <w:rStyle w:val="jrnl"/>
          <w:b/>
          <w:i/>
          <w:color w:val="000000" w:themeColor="text1"/>
        </w:rPr>
        <w:t>Science</w:t>
      </w:r>
      <w:r w:rsidRPr="00147F37">
        <w:rPr>
          <w:rStyle w:val="src"/>
          <w:color w:val="000000" w:themeColor="text1"/>
        </w:rPr>
        <w:t xml:space="preserve"> 1995</w:t>
      </w:r>
      <w:r w:rsidR="00C954FE" w:rsidRPr="00147F37">
        <w:rPr>
          <w:rStyle w:val="src"/>
          <w:color w:val="000000" w:themeColor="text1"/>
        </w:rPr>
        <w:t>;</w:t>
      </w:r>
      <w:r w:rsidR="00DA0B1D" w:rsidRPr="00147F37">
        <w:rPr>
          <w:rStyle w:val="src"/>
          <w:color w:val="000000" w:themeColor="text1"/>
        </w:rPr>
        <w:t xml:space="preserve"> </w:t>
      </w:r>
      <w:r w:rsidRPr="00147F37">
        <w:rPr>
          <w:rStyle w:val="src"/>
          <w:color w:val="000000" w:themeColor="text1"/>
          <w:u w:val="single"/>
        </w:rPr>
        <w:t>268</w:t>
      </w:r>
      <w:r w:rsidRPr="00147F37">
        <w:rPr>
          <w:rStyle w:val="src"/>
          <w:color w:val="000000" w:themeColor="text1"/>
        </w:rPr>
        <w:t>:247-51</w:t>
      </w:r>
      <w:r w:rsidR="00C954FE" w:rsidRPr="00147F37">
        <w:rPr>
          <w:rStyle w:val="src"/>
          <w:color w:val="000000" w:themeColor="text1"/>
        </w:rPr>
        <w:t>.</w:t>
      </w:r>
    </w:p>
    <w:p w14:paraId="798B0830" w14:textId="141C5432" w:rsidR="00053D28" w:rsidRPr="00147F37" w:rsidRDefault="00053D28" w:rsidP="008B175C">
      <w:pPr>
        <w:pStyle w:val="ListParagraph"/>
        <w:numPr>
          <w:ilvl w:val="0"/>
          <w:numId w:val="3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rPr>
      </w:pPr>
      <w:r w:rsidRPr="00147F37">
        <w:rPr>
          <w:color w:val="000000" w:themeColor="text1"/>
        </w:rPr>
        <w:t xml:space="preserve">Chen L, Hahn H, Wu G, Chen CH, Liron T, Schechtman D, Cavallaro G, Banci L, Guo Y, Bolli R, Dorn GW 2nd, </w:t>
      </w:r>
      <w:r w:rsidRPr="00147F37">
        <w:rPr>
          <w:b/>
          <w:bCs/>
          <w:color w:val="000000" w:themeColor="text1"/>
        </w:rPr>
        <w:t>MOCHLY-ROSEN D</w:t>
      </w:r>
      <w:r w:rsidRPr="00147F37">
        <w:rPr>
          <w:color w:val="000000" w:themeColor="text1"/>
        </w:rPr>
        <w:t xml:space="preserve">. Opposing cardioprotective actions and parallel hypertrophic effects of delta PKC and epsilon PKC. </w:t>
      </w:r>
      <w:r w:rsidRPr="00147F37">
        <w:rPr>
          <w:b/>
          <w:i/>
          <w:color w:val="000000" w:themeColor="text1"/>
        </w:rPr>
        <w:t>PNAS</w:t>
      </w:r>
      <w:r w:rsidRPr="00147F37">
        <w:rPr>
          <w:color w:val="000000" w:themeColor="text1"/>
        </w:rPr>
        <w:t xml:space="preserve"> 2001;</w:t>
      </w:r>
      <w:r w:rsidR="00DA0B1D" w:rsidRPr="00147F37">
        <w:rPr>
          <w:color w:val="000000" w:themeColor="text1"/>
        </w:rPr>
        <w:t xml:space="preserve"> </w:t>
      </w:r>
      <w:r w:rsidRPr="00147F37">
        <w:rPr>
          <w:color w:val="000000" w:themeColor="text1"/>
          <w:u w:val="single"/>
        </w:rPr>
        <w:t>98</w:t>
      </w:r>
      <w:r w:rsidRPr="00147F37">
        <w:rPr>
          <w:color w:val="000000" w:themeColor="text1"/>
        </w:rPr>
        <w:t>:11114-9. PMCID: PMC58692</w:t>
      </w:r>
    </w:p>
    <w:p w14:paraId="65C610A5" w14:textId="34DDF29D" w:rsidR="00053D28" w:rsidRPr="00147F37" w:rsidRDefault="00053D28" w:rsidP="008B175C">
      <w:pPr>
        <w:pStyle w:val="ListParagraph"/>
        <w:numPr>
          <w:ilvl w:val="0"/>
          <w:numId w:val="30"/>
        </w:numPr>
        <w:tabs>
          <w:tab w:val="left" w:pos="0"/>
        </w:tabs>
        <w:autoSpaceDE w:val="0"/>
        <w:autoSpaceDN w:val="0"/>
        <w:jc w:val="both"/>
        <w:rPr>
          <w:color w:val="000000" w:themeColor="text1"/>
        </w:rPr>
      </w:pPr>
      <w:r w:rsidRPr="00147F37">
        <w:rPr>
          <w:color w:val="000000" w:themeColor="text1"/>
        </w:rPr>
        <w:t xml:space="preserve">Direct Inhibition of delta-Protein Kinase C Enzyme to Limit Total Infarct Size in Acute Myocardial Infarction (DELTA MI) Investigators, Bates E, Bode C, Costa M, Gibson CM, Granger C, Green C, Grimes K, Harrington R, Huber K, Kleiman N, </w:t>
      </w:r>
      <w:r w:rsidRPr="00147F37">
        <w:rPr>
          <w:b/>
          <w:bCs/>
          <w:caps/>
          <w:color w:val="000000" w:themeColor="text1"/>
        </w:rPr>
        <w:t>Mochly-Rosen</w:t>
      </w:r>
      <w:r w:rsidRPr="00147F37">
        <w:rPr>
          <w:b/>
          <w:bCs/>
          <w:color w:val="000000" w:themeColor="text1"/>
        </w:rPr>
        <w:t xml:space="preserve"> D</w:t>
      </w:r>
      <w:r w:rsidRPr="00147F37">
        <w:rPr>
          <w:color w:val="000000" w:themeColor="text1"/>
        </w:rPr>
        <w:t xml:space="preserve">, Roe M, Sadowski Z, Solomon S, Widimsky P. Intracoronary KAI-9803 as an adjunct to primary percutaneous coronary intervention for acute ST-segment elevation myocardial infarction. </w:t>
      </w:r>
      <w:r w:rsidRPr="00147F37">
        <w:rPr>
          <w:b/>
          <w:i/>
          <w:color w:val="000000" w:themeColor="text1"/>
        </w:rPr>
        <w:t>Circulation</w:t>
      </w:r>
      <w:r w:rsidRPr="00147F37">
        <w:rPr>
          <w:color w:val="000000" w:themeColor="text1"/>
        </w:rPr>
        <w:t xml:space="preserve"> 2008</w:t>
      </w:r>
      <w:r w:rsidR="00C954FE" w:rsidRPr="00147F37">
        <w:rPr>
          <w:color w:val="000000" w:themeColor="text1"/>
        </w:rPr>
        <w:t>;</w:t>
      </w:r>
      <w:r w:rsidR="00DA0B1D" w:rsidRPr="00147F37">
        <w:rPr>
          <w:color w:val="000000" w:themeColor="text1"/>
        </w:rPr>
        <w:t xml:space="preserve"> </w:t>
      </w:r>
      <w:r w:rsidRPr="00147F37">
        <w:rPr>
          <w:color w:val="000000" w:themeColor="text1"/>
          <w:u w:val="single"/>
        </w:rPr>
        <w:t>117</w:t>
      </w:r>
      <w:r w:rsidRPr="00147F37">
        <w:rPr>
          <w:color w:val="000000" w:themeColor="text1"/>
        </w:rPr>
        <w:t xml:space="preserve">:886-96. </w:t>
      </w:r>
    </w:p>
    <w:p w14:paraId="7A7989D7" w14:textId="1DD6C29B" w:rsidR="00053D28" w:rsidRPr="00147F37" w:rsidRDefault="00053D28" w:rsidP="008B175C">
      <w:pPr>
        <w:pStyle w:val="ListParagraph"/>
        <w:numPr>
          <w:ilvl w:val="0"/>
          <w:numId w:val="3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rPr>
      </w:pPr>
      <w:r w:rsidRPr="00147F37">
        <w:rPr>
          <w:b/>
          <w:bCs/>
          <w:color w:val="000000" w:themeColor="text1"/>
        </w:rPr>
        <w:t>MOCHLY-ROSEN D</w:t>
      </w:r>
      <w:r w:rsidRPr="00147F37">
        <w:rPr>
          <w:color w:val="000000" w:themeColor="text1"/>
        </w:rPr>
        <w:t xml:space="preserve">, Das K, Grimes KV. Protein kinase C, an elusive therapeutic target? </w:t>
      </w:r>
      <w:r w:rsidRPr="00147F37">
        <w:rPr>
          <w:b/>
          <w:i/>
          <w:color w:val="000000" w:themeColor="text1"/>
        </w:rPr>
        <w:t>Nature Rev Drug Discov.</w:t>
      </w:r>
      <w:r w:rsidRPr="00147F37">
        <w:rPr>
          <w:color w:val="000000" w:themeColor="text1"/>
        </w:rPr>
        <w:t xml:space="preserve"> 2012;</w:t>
      </w:r>
      <w:r w:rsidR="00DA0B1D" w:rsidRPr="00147F37">
        <w:rPr>
          <w:color w:val="000000" w:themeColor="text1"/>
        </w:rPr>
        <w:t xml:space="preserve"> </w:t>
      </w:r>
      <w:r w:rsidRPr="00147F37">
        <w:rPr>
          <w:color w:val="000000" w:themeColor="text1"/>
          <w:u w:val="single"/>
        </w:rPr>
        <w:t>11</w:t>
      </w:r>
      <w:r w:rsidRPr="00147F37">
        <w:rPr>
          <w:color w:val="000000" w:themeColor="text1"/>
        </w:rPr>
        <w:t>:937-57. PMCID: PMC3760692</w:t>
      </w:r>
    </w:p>
    <w:p w14:paraId="23A9FFA2" w14:textId="77777777" w:rsidR="00053D28" w:rsidRDefault="00053D28" w:rsidP="00053D28">
      <w:pPr>
        <w:ind w:left="360"/>
        <w:jc w:val="both"/>
      </w:pPr>
    </w:p>
    <w:p w14:paraId="4BC0AD83" w14:textId="54686AA2" w:rsidR="00053D28" w:rsidRDefault="00053D28" w:rsidP="00767652">
      <w:pPr>
        <w:pStyle w:val="ListParagraph"/>
        <w:numPr>
          <w:ilvl w:val="0"/>
          <w:numId w:val="27"/>
        </w:numPr>
        <w:ind w:left="270" w:hanging="270"/>
        <w:jc w:val="both"/>
      </w:pPr>
      <w:r>
        <w:t xml:space="preserve">In our efforts to identify how a short bout of ischemia or a brief exposure to ethanol provides protection from myocardial infarction (MI), we identified proteins whose state of phosphorylation is altered under conditions of cardiac protection. Unlike others, we focused on proteins that </w:t>
      </w:r>
      <w:r w:rsidR="00945A67">
        <w:t>do not align</w:t>
      </w:r>
      <w:r>
        <w:t xml:space="preserve"> with the current theory</w:t>
      </w:r>
      <w:r w:rsidR="00945A67">
        <w:t xml:space="preserve">. We </w:t>
      </w:r>
      <w:r>
        <w:t xml:space="preserve">focused on the mitochondrial matrix protein, aldehyde dehydrogenase 2, whose phosphorylation increases under conditions of cardiac protection. There was no evidence that ALDH2 activity can be regulated, nor that cytosolic kinases can phosphorylate and regulate mitochondrial matrix enzymes. We first demonstrated that ALDH2 is required for cardiac protection from MI (using ALDH2 inhibitors). We then identified a novel selective </w:t>
      </w:r>
      <w:r w:rsidRPr="00053D28">
        <w:rPr>
          <w:i/>
        </w:rPr>
        <w:t>activator</w:t>
      </w:r>
      <w:r>
        <w:t xml:space="preserve"> of ALDH2, Alda-1, and showed that it alone produces cardiac protection. We subsequently</w:t>
      </w:r>
      <w:r w:rsidRPr="00F80C94">
        <w:t xml:space="preserve"> showed that Alda-1 also improves the therapeutic effect of nitroglycerin</w:t>
      </w:r>
      <w:r w:rsidR="00945A67">
        <w:t>,</w:t>
      </w:r>
      <w:r w:rsidRPr="00F80C94">
        <w:t xml:space="preserve"> </w:t>
      </w:r>
      <w:r w:rsidR="00945A67">
        <w:t>which</w:t>
      </w:r>
      <w:r w:rsidRPr="00F80C94">
        <w:t xml:space="preserve"> is used to</w:t>
      </w:r>
      <w:r>
        <w:t xml:space="preserve"> alleviate cardiac ischemic event</w:t>
      </w:r>
      <w:r w:rsidR="00945A67">
        <w:t>s</w:t>
      </w:r>
      <w:r>
        <w:t xml:space="preserve">. Alda-1 also increases </w:t>
      </w:r>
      <w:r w:rsidR="00945A67">
        <w:t xml:space="preserve">the </w:t>
      </w:r>
      <w:r>
        <w:t xml:space="preserve">survival of cardiac stem </w:t>
      </w:r>
      <w:r w:rsidR="00945A67">
        <w:t>cells and</w:t>
      </w:r>
      <w:r>
        <w:t xml:space="preserve"> thus may contribute to heart remodeling and prevent </w:t>
      </w:r>
      <w:r w:rsidR="00945A67">
        <w:t xml:space="preserve">the development of </w:t>
      </w:r>
      <w:r>
        <w:t xml:space="preserve">heart failure after myocardial infarction. Alda-1 has benefits in </w:t>
      </w:r>
      <w:r w:rsidR="00945A67">
        <w:t>several</w:t>
      </w:r>
      <w:r>
        <w:t xml:space="preserve"> additional models of human diseases. For example, Alda-1 reduced inflammatory pain sensation in mouse and rat models. We are also the first to demonstrate that acetaldehyde accumulates </w:t>
      </w:r>
      <w:r w:rsidR="00945A67">
        <w:t>at</w:t>
      </w:r>
      <w:r>
        <w:t xml:space="preserve"> the inflammatory site</w:t>
      </w:r>
      <w:r w:rsidR="00945A67">
        <w:t>,</w:t>
      </w:r>
      <w:r>
        <w:t xml:space="preserve"> and </w:t>
      </w:r>
      <w:r w:rsidR="00945A67">
        <w:t xml:space="preserve">the </w:t>
      </w:r>
      <w:r>
        <w:t xml:space="preserve">acceleration of clearance of this and other aldehydes results in a therapeutic effect. Since Alda is not harmful to cardiac tissue and </w:t>
      </w:r>
      <w:r w:rsidR="00945A67">
        <w:t>doe</w:t>
      </w:r>
      <w:r>
        <w:t>s not us</w:t>
      </w:r>
      <w:r w:rsidR="00945A67">
        <w:t>e</w:t>
      </w:r>
      <w:r>
        <w:t xml:space="preserve"> the opiate pathway, it might provide superior pain control to current</w:t>
      </w:r>
      <w:r w:rsidR="00945A67">
        <w:t>ly</w:t>
      </w:r>
      <w:r>
        <w:t xml:space="preserve"> available drugs.  </w:t>
      </w:r>
    </w:p>
    <w:p w14:paraId="2BCEA46A" w14:textId="77777777" w:rsidR="00053D28" w:rsidRPr="005A628F" w:rsidRDefault="00053D28" w:rsidP="00053D28">
      <w:pPr>
        <w:spacing w:line="120" w:lineRule="auto"/>
        <w:ind w:left="274" w:hanging="274"/>
        <w:jc w:val="both"/>
        <w:rPr>
          <w:color w:val="000000" w:themeColor="text1"/>
        </w:rPr>
      </w:pPr>
    </w:p>
    <w:p w14:paraId="39CD5541" w14:textId="0674CDBA" w:rsidR="00053D28" w:rsidRPr="00147F37" w:rsidRDefault="00053D28" w:rsidP="008B175C">
      <w:pPr>
        <w:pStyle w:val="ListParagraph"/>
        <w:numPr>
          <w:ilvl w:val="0"/>
          <w:numId w:val="31"/>
        </w:numPr>
        <w:tabs>
          <w:tab w:val="left" w:pos="99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color w:val="000000" w:themeColor="text1"/>
        </w:rPr>
      </w:pPr>
      <w:r w:rsidRPr="00147F37">
        <w:rPr>
          <w:color w:val="000000" w:themeColor="text1"/>
        </w:rPr>
        <w:t xml:space="preserve">Chen CH, Budas GR, Churchill EN, Disatnik MH, Hurley TD, </w:t>
      </w:r>
      <w:r w:rsidRPr="00147F37">
        <w:rPr>
          <w:b/>
          <w:bCs/>
          <w:color w:val="000000" w:themeColor="text1"/>
        </w:rPr>
        <w:t>MOCHLY-ROSEN, D</w:t>
      </w:r>
      <w:r w:rsidRPr="00147F37">
        <w:rPr>
          <w:color w:val="000000" w:themeColor="text1"/>
        </w:rPr>
        <w:t xml:space="preserve">. Activation of aldehyde dehydrogenase-2 reduces ischemic damage to the heart. </w:t>
      </w:r>
      <w:r w:rsidRPr="00147F37">
        <w:rPr>
          <w:b/>
          <w:i/>
          <w:color w:val="000000" w:themeColor="text1"/>
        </w:rPr>
        <w:t xml:space="preserve">Science </w:t>
      </w:r>
      <w:r w:rsidRPr="00147F37">
        <w:rPr>
          <w:color w:val="000000" w:themeColor="text1"/>
        </w:rPr>
        <w:t>2008;</w:t>
      </w:r>
      <w:r w:rsidR="00DA0B1D" w:rsidRPr="00147F37">
        <w:rPr>
          <w:color w:val="000000" w:themeColor="text1"/>
        </w:rPr>
        <w:t xml:space="preserve"> </w:t>
      </w:r>
      <w:r w:rsidRPr="00147F37">
        <w:rPr>
          <w:color w:val="000000" w:themeColor="text1"/>
          <w:u w:val="single"/>
        </w:rPr>
        <w:t>321</w:t>
      </w:r>
      <w:r w:rsidRPr="00147F37">
        <w:rPr>
          <w:color w:val="000000" w:themeColor="text1"/>
        </w:rPr>
        <w:t>:1493-5. PMCID: PMC2741612</w:t>
      </w:r>
    </w:p>
    <w:p w14:paraId="154C7037" w14:textId="40E5206D" w:rsidR="00053D28" w:rsidRPr="00147F37" w:rsidRDefault="00053D28" w:rsidP="008B175C">
      <w:pPr>
        <w:pStyle w:val="ListParagraph"/>
        <w:numPr>
          <w:ilvl w:val="0"/>
          <w:numId w:val="31"/>
        </w:numPr>
        <w:tabs>
          <w:tab w:val="left" w:pos="990"/>
        </w:tabs>
        <w:autoSpaceDE w:val="0"/>
        <w:autoSpaceDN w:val="0"/>
        <w:jc w:val="both"/>
        <w:rPr>
          <w:color w:val="000000" w:themeColor="text1"/>
        </w:rPr>
      </w:pPr>
      <w:r w:rsidRPr="00147F37">
        <w:rPr>
          <w:color w:val="000000" w:themeColor="text1"/>
        </w:rPr>
        <w:t xml:space="preserve">Sun L, Ferreira JC, </w:t>
      </w:r>
      <w:r w:rsidRPr="00147F37">
        <w:rPr>
          <w:b/>
          <w:bCs/>
          <w:caps/>
          <w:color w:val="000000" w:themeColor="text1"/>
        </w:rPr>
        <w:t>Mochly-Rosen</w:t>
      </w:r>
      <w:r w:rsidRPr="00147F37">
        <w:rPr>
          <w:b/>
          <w:bCs/>
          <w:color w:val="000000" w:themeColor="text1"/>
        </w:rPr>
        <w:t xml:space="preserve"> D</w:t>
      </w:r>
      <w:r w:rsidRPr="00147F37">
        <w:rPr>
          <w:color w:val="000000" w:themeColor="text1"/>
        </w:rPr>
        <w:t xml:space="preserve">. ALDH2 activator inhibits increased myocardial infarction injury by nitroglycerin tolerance. </w:t>
      </w:r>
      <w:r w:rsidRPr="00147F37">
        <w:rPr>
          <w:b/>
          <w:i/>
          <w:color w:val="000000" w:themeColor="text1"/>
        </w:rPr>
        <w:t>Science Transl Med</w:t>
      </w:r>
      <w:r w:rsidRPr="00147F37">
        <w:rPr>
          <w:color w:val="000000" w:themeColor="text1"/>
        </w:rPr>
        <w:t xml:space="preserve"> 2011;</w:t>
      </w:r>
      <w:r w:rsidR="00DA0B1D" w:rsidRPr="00147F37">
        <w:rPr>
          <w:color w:val="000000" w:themeColor="text1"/>
        </w:rPr>
        <w:t xml:space="preserve"> </w:t>
      </w:r>
      <w:r w:rsidRPr="00147F37">
        <w:rPr>
          <w:color w:val="000000" w:themeColor="text1"/>
          <w:u w:val="single"/>
        </w:rPr>
        <w:t>3</w:t>
      </w:r>
      <w:r w:rsidRPr="00147F37">
        <w:rPr>
          <w:color w:val="000000" w:themeColor="text1"/>
        </w:rPr>
        <w:t>:107ra111. PMCID: PMC3547591</w:t>
      </w:r>
    </w:p>
    <w:p w14:paraId="30799A0A" w14:textId="44CFA876" w:rsidR="00053D28" w:rsidRPr="00147F37" w:rsidRDefault="00053D28" w:rsidP="008B175C">
      <w:pPr>
        <w:pStyle w:val="ListParagraph"/>
        <w:numPr>
          <w:ilvl w:val="0"/>
          <w:numId w:val="31"/>
        </w:numPr>
        <w:tabs>
          <w:tab w:val="left" w:pos="99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rPr>
      </w:pPr>
      <w:r w:rsidRPr="00147F37">
        <w:rPr>
          <w:color w:val="000000" w:themeColor="text1"/>
        </w:rPr>
        <w:t xml:space="preserve">Ebert AD, Kodo K, Liang P, Wu H, Lee J, de Almeida P, Lan F, Diecke S, Burridge PW, Gold JD, </w:t>
      </w:r>
      <w:r w:rsidRPr="00147F37">
        <w:rPr>
          <w:b/>
          <w:bCs/>
          <w:caps/>
          <w:color w:val="000000" w:themeColor="text1"/>
        </w:rPr>
        <w:t>Mochly-Rosen</w:t>
      </w:r>
      <w:r w:rsidRPr="00147F37">
        <w:rPr>
          <w:b/>
          <w:bCs/>
          <w:color w:val="000000" w:themeColor="text1"/>
        </w:rPr>
        <w:t xml:space="preserve"> D</w:t>
      </w:r>
      <w:r w:rsidRPr="00147F37">
        <w:rPr>
          <w:color w:val="000000" w:themeColor="text1"/>
        </w:rPr>
        <w:t xml:space="preserve">, Wu JC. Characterization of the molecular mechanisms underlying increased ischemic damage in the aldehyde dehydrogenase 2 genetic polymorphism using a human induced pluripotent stem cell model system. </w:t>
      </w:r>
      <w:r w:rsidRPr="00147F37">
        <w:rPr>
          <w:b/>
          <w:i/>
          <w:color w:val="000000" w:themeColor="text1"/>
        </w:rPr>
        <w:t>Science Transl Med</w:t>
      </w:r>
      <w:r w:rsidRPr="00147F37">
        <w:rPr>
          <w:color w:val="000000" w:themeColor="text1"/>
        </w:rPr>
        <w:t xml:space="preserve"> 2014;</w:t>
      </w:r>
      <w:r w:rsidR="00DA0B1D" w:rsidRPr="00147F37">
        <w:rPr>
          <w:color w:val="000000" w:themeColor="text1"/>
        </w:rPr>
        <w:t xml:space="preserve"> </w:t>
      </w:r>
      <w:r w:rsidRPr="00147F37">
        <w:rPr>
          <w:color w:val="000000" w:themeColor="text1"/>
          <w:u w:val="single"/>
        </w:rPr>
        <w:t>6</w:t>
      </w:r>
      <w:r w:rsidRPr="00147F37">
        <w:rPr>
          <w:color w:val="000000" w:themeColor="text1"/>
        </w:rPr>
        <w:t>:255ra130. PMCID: PMC4215699</w:t>
      </w:r>
    </w:p>
    <w:p w14:paraId="441743FB" w14:textId="4499DFFB" w:rsidR="00053D28" w:rsidRPr="00147F37" w:rsidRDefault="00053D28" w:rsidP="008B175C">
      <w:pPr>
        <w:pStyle w:val="ListParagraph"/>
        <w:numPr>
          <w:ilvl w:val="0"/>
          <w:numId w:val="31"/>
        </w:numPr>
        <w:tabs>
          <w:tab w:val="left" w:pos="99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rPr>
      </w:pPr>
      <w:r w:rsidRPr="00147F37">
        <w:rPr>
          <w:color w:val="000000" w:themeColor="text1"/>
        </w:rPr>
        <w:t xml:space="preserve">Zambelli VO, Gross ER, Chen CH, Gutierrez VP, Cury Y, </w:t>
      </w:r>
      <w:r w:rsidRPr="00147F37">
        <w:rPr>
          <w:b/>
          <w:bCs/>
          <w:caps/>
          <w:color w:val="000000" w:themeColor="text1"/>
        </w:rPr>
        <w:t>Mochly-Rosen</w:t>
      </w:r>
      <w:r w:rsidRPr="00147F37">
        <w:rPr>
          <w:b/>
          <w:bCs/>
          <w:color w:val="000000" w:themeColor="text1"/>
        </w:rPr>
        <w:t xml:space="preserve"> D</w:t>
      </w:r>
      <w:r w:rsidRPr="00147F37">
        <w:rPr>
          <w:color w:val="000000" w:themeColor="text1"/>
        </w:rPr>
        <w:t xml:space="preserve">. Aldehyde dehydrogenase-2 regulates nociception in rodent models of acute inflammatory pain. </w:t>
      </w:r>
      <w:r w:rsidRPr="00147F37">
        <w:rPr>
          <w:b/>
          <w:i/>
          <w:color w:val="000000" w:themeColor="text1"/>
        </w:rPr>
        <w:t>Science Transl Med</w:t>
      </w:r>
      <w:r w:rsidRPr="00147F37">
        <w:rPr>
          <w:color w:val="000000" w:themeColor="text1"/>
        </w:rPr>
        <w:t xml:space="preserve"> 2014</w:t>
      </w:r>
      <w:r w:rsidR="004D1DD0" w:rsidRPr="00147F37">
        <w:rPr>
          <w:color w:val="000000" w:themeColor="text1"/>
        </w:rPr>
        <w:t>;</w:t>
      </w:r>
      <w:r w:rsidR="00DA0B1D" w:rsidRPr="00147F37">
        <w:rPr>
          <w:color w:val="000000" w:themeColor="text1"/>
        </w:rPr>
        <w:t xml:space="preserve"> </w:t>
      </w:r>
      <w:r w:rsidRPr="00147F37">
        <w:rPr>
          <w:color w:val="000000" w:themeColor="text1"/>
          <w:u w:val="single"/>
        </w:rPr>
        <w:t>6</w:t>
      </w:r>
      <w:r w:rsidRPr="00147F37">
        <w:rPr>
          <w:color w:val="000000" w:themeColor="text1"/>
        </w:rPr>
        <w:t>:251ra118. PMCID: PMC4234033</w:t>
      </w:r>
    </w:p>
    <w:p w14:paraId="4B97BF90" w14:textId="77777777" w:rsidR="00053D28" w:rsidRPr="002F1AC1" w:rsidRDefault="00053D28" w:rsidP="00053D28">
      <w:pPr>
        <w:jc w:val="both"/>
      </w:pPr>
    </w:p>
    <w:p w14:paraId="179CC6D0" w14:textId="4EC1CC41" w:rsidR="00053D28" w:rsidRPr="00147F37" w:rsidRDefault="00053D28" w:rsidP="00767652">
      <w:pPr>
        <w:pStyle w:val="ListParagraph"/>
        <w:numPr>
          <w:ilvl w:val="0"/>
          <w:numId w:val="27"/>
        </w:numPr>
        <w:ind w:left="270" w:hanging="270"/>
        <w:jc w:val="both"/>
        <w:rPr>
          <w:color w:val="000000" w:themeColor="text1"/>
        </w:rPr>
      </w:pPr>
      <w:r>
        <w:t xml:space="preserve">Our long-term interest in alcohol research also led to the finding that Alda-1 corrects an inactivating mutation in ALDH2 (ALDH2*2) that occurs in ~560 million East Asians. This is the first small molecule that corrects </w:t>
      </w:r>
      <w:r w:rsidR="00945A67">
        <w:t xml:space="preserve">the </w:t>
      </w:r>
      <w:r>
        <w:t>ultrastructure of a defective enzyme after it is fully folded. We showed that treatment of mice with this human mutation accelerated ethanol intoxication and reduced inflammatory pain sensation (ref above). Further</w:t>
      </w:r>
      <w:r w:rsidR="00945A67">
        <w:t>more</w:t>
      </w:r>
      <w:r>
        <w:t>, iPSC</w:t>
      </w:r>
      <w:r w:rsidR="00945A67">
        <w:t>s</w:t>
      </w:r>
      <w:r>
        <w:t xml:space="preserve"> and cardiac myocytes derived from humans with this mutation, which show greater oxidative stress and reduced viability relative to cells from humans with wild</w:t>
      </w:r>
      <w:r w:rsidR="00945A67">
        <w:t>-</w:t>
      </w:r>
      <w:r>
        <w:t>type ALDH2, can be rescued with treatment with Alda-1 (</w:t>
      </w:r>
      <w:r w:rsidRPr="00147F37">
        <w:rPr>
          <w:color w:val="000000" w:themeColor="text1"/>
        </w:rPr>
        <w:t>reference above). This finding is particularly surprising</w:t>
      </w:r>
      <w:r w:rsidR="00945A67">
        <w:rPr>
          <w:color w:val="000000" w:themeColor="text1"/>
        </w:rPr>
        <w:t>,</w:t>
      </w:r>
      <w:r w:rsidRPr="00147F37">
        <w:rPr>
          <w:color w:val="000000" w:themeColor="text1"/>
        </w:rPr>
        <w:t xml:space="preserve"> as it has been assumed that cytosolic ALDH1 </w:t>
      </w:r>
      <w:r w:rsidR="00945A67">
        <w:rPr>
          <w:color w:val="000000" w:themeColor="text1"/>
        </w:rPr>
        <w:t>play</w:t>
      </w:r>
      <w:r w:rsidRPr="00147F37">
        <w:rPr>
          <w:color w:val="000000" w:themeColor="text1"/>
        </w:rPr>
        <w:t>s a role in stem cells</w:t>
      </w:r>
      <w:r w:rsidR="00945A67">
        <w:rPr>
          <w:color w:val="000000" w:themeColor="text1"/>
        </w:rPr>
        <w:t>,</w:t>
      </w:r>
      <w:r w:rsidRPr="00147F37">
        <w:rPr>
          <w:color w:val="000000" w:themeColor="text1"/>
        </w:rPr>
        <w:t xml:space="preserve"> </w:t>
      </w:r>
      <w:r w:rsidR="00945A67">
        <w:rPr>
          <w:color w:val="000000" w:themeColor="text1"/>
        </w:rPr>
        <w:t>whil</w:t>
      </w:r>
      <w:r w:rsidRPr="00147F37">
        <w:rPr>
          <w:color w:val="000000" w:themeColor="text1"/>
        </w:rPr>
        <w:t xml:space="preserve">e mitochondrial ALDH2 </w:t>
      </w:r>
      <w:r w:rsidR="00945A67">
        <w:rPr>
          <w:color w:val="000000" w:themeColor="text1"/>
        </w:rPr>
        <w:t>has been largely overlook</w:t>
      </w:r>
      <w:r w:rsidRPr="00147F37">
        <w:rPr>
          <w:color w:val="000000" w:themeColor="text1"/>
        </w:rPr>
        <w:t xml:space="preserve">ed. Most recently, we showed </w:t>
      </w:r>
      <w:r w:rsidRPr="00147F37">
        <w:rPr>
          <w:color w:val="000000" w:themeColor="text1"/>
        </w:rPr>
        <w:lastRenderedPageBreak/>
        <w:t xml:space="preserve">that we can recruit ALDH3A1 to do the ‘job’ of the defective ALDH2*2 and reduce the aldehydic load </w:t>
      </w:r>
      <w:r w:rsidRPr="00147F37">
        <w:rPr>
          <w:i/>
          <w:color w:val="000000" w:themeColor="text1"/>
        </w:rPr>
        <w:t>in vivo</w:t>
      </w:r>
      <w:r w:rsidRPr="00147F37">
        <w:rPr>
          <w:color w:val="000000" w:themeColor="text1"/>
        </w:rPr>
        <w:t xml:space="preserve">. Pharmacologic agents that alter </w:t>
      </w:r>
      <w:r w:rsidR="00945A67">
        <w:rPr>
          <w:color w:val="000000" w:themeColor="text1"/>
        </w:rPr>
        <w:t xml:space="preserve">the </w:t>
      </w:r>
      <w:r w:rsidRPr="00147F37">
        <w:rPr>
          <w:color w:val="000000" w:themeColor="text1"/>
        </w:rPr>
        <w:t>substrate specificity of an enzyme have not yet been described and may have wide clinical application in treating patients with impaired ability to detoxify toxic substances. Finally, our work led to the discovery of a novel class of covalent inhibitors for aldehyde dehydrogenases, that may be useful in increasing the sensitivity of tumors to chemotherapeutic agents.</w:t>
      </w:r>
    </w:p>
    <w:p w14:paraId="0FA71066" w14:textId="77777777" w:rsidR="00053D28" w:rsidRPr="00147F37" w:rsidRDefault="00053D28" w:rsidP="00053D28">
      <w:pPr>
        <w:spacing w:line="120" w:lineRule="auto"/>
        <w:jc w:val="both"/>
        <w:rPr>
          <w:color w:val="000000" w:themeColor="text1"/>
        </w:rPr>
      </w:pPr>
    </w:p>
    <w:p w14:paraId="7483E8AF" w14:textId="6D341BC6" w:rsidR="00053D28" w:rsidRPr="00147F37" w:rsidRDefault="00053D28" w:rsidP="00DA0B1D">
      <w:pPr>
        <w:pStyle w:val="ListParagraph"/>
        <w:numPr>
          <w:ilvl w:val="0"/>
          <w:numId w:val="32"/>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rPr>
      </w:pPr>
      <w:r w:rsidRPr="00147F37">
        <w:rPr>
          <w:color w:val="000000" w:themeColor="text1"/>
        </w:rPr>
        <w:t xml:space="preserve">Perez-Miller S, Younus H, Vanam R, Chen CH, </w:t>
      </w:r>
      <w:r w:rsidRPr="00147F37">
        <w:rPr>
          <w:b/>
          <w:bCs/>
          <w:caps/>
          <w:color w:val="000000" w:themeColor="text1"/>
        </w:rPr>
        <w:t>Mochly-Rosen</w:t>
      </w:r>
      <w:r w:rsidRPr="00147F37">
        <w:rPr>
          <w:b/>
          <w:bCs/>
          <w:color w:val="000000" w:themeColor="text1"/>
        </w:rPr>
        <w:t xml:space="preserve"> D</w:t>
      </w:r>
      <w:r w:rsidRPr="00147F37">
        <w:rPr>
          <w:color w:val="000000" w:themeColor="text1"/>
        </w:rPr>
        <w:t>, Hurley TD. Alda-</w:t>
      </w:r>
      <w:r w:rsidR="00945A67" w:rsidRPr="00147F37">
        <w:rPr>
          <w:color w:val="000000" w:themeColor="text1"/>
        </w:rPr>
        <w:t>1 is</w:t>
      </w:r>
      <w:r w:rsidRPr="00147F37">
        <w:rPr>
          <w:color w:val="000000" w:themeColor="text1"/>
        </w:rPr>
        <w:t xml:space="preserve"> an agonist and chemical chaperone for the common human aldehyde dehydrogenase  2 variant. </w:t>
      </w:r>
      <w:r w:rsidRPr="00147F37">
        <w:rPr>
          <w:b/>
          <w:i/>
          <w:color w:val="000000" w:themeColor="text1"/>
        </w:rPr>
        <w:t>Nature Struct Mol Biol</w:t>
      </w:r>
      <w:r w:rsidRPr="00147F37">
        <w:rPr>
          <w:color w:val="000000" w:themeColor="text1"/>
        </w:rPr>
        <w:t xml:space="preserve"> 2010;</w:t>
      </w:r>
      <w:r w:rsidR="00DA0B1D" w:rsidRPr="00147F37">
        <w:rPr>
          <w:color w:val="000000" w:themeColor="text1"/>
        </w:rPr>
        <w:t xml:space="preserve"> </w:t>
      </w:r>
      <w:r w:rsidRPr="00147F37">
        <w:rPr>
          <w:color w:val="000000" w:themeColor="text1"/>
          <w:u w:val="single"/>
        </w:rPr>
        <w:t>17</w:t>
      </w:r>
      <w:r w:rsidRPr="00147F37">
        <w:rPr>
          <w:color w:val="000000" w:themeColor="text1"/>
        </w:rPr>
        <w:t>:159-64. PMCID: PMC2857674</w:t>
      </w:r>
    </w:p>
    <w:p w14:paraId="03827A96" w14:textId="5420AB97" w:rsidR="00053D28" w:rsidRPr="00147F37" w:rsidRDefault="00053D28" w:rsidP="008B175C">
      <w:pPr>
        <w:pStyle w:val="ListParagraph"/>
        <w:numPr>
          <w:ilvl w:val="0"/>
          <w:numId w:val="32"/>
        </w:numPr>
        <w:autoSpaceDE w:val="0"/>
        <w:autoSpaceDN w:val="0"/>
        <w:jc w:val="both"/>
        <w:rPr>
          <w:color w:val="000000" w:themeColor="text1"/>
        </w:rPr>
      </w:pPr>
      <w:r w:rsidRPr="00147F37">
        <w:rPr>
          <w:color w:val="000000" w:themeColor="text1"/>
        </w:rPr>
        <w:t xml:space="preserve">Chen CH, Cruz LA, </w:t>
      </w:r>
      <w:r w:rsidRPr="00147F37">
        <w:rPr>
          <w:b/>
          <w:bCs/>
          <w:color w:val="000000" w:themeColor="text1"/>
        </w:rPr>
        <w:t>MOCHLY-ROSEN D</w:t>
      </w:r>
      <w:r w:rsidRPr="00147F37">
        <w:rPr>
          <w:color w:val="000000" w:themeColor="text1"/>
        </w:rPr>
        <w:t xml:space="preserve">. Pharmacological recruitment of aldehyde dehydrogenase 3A1 (ALDH3A1) to assist ALDH2 in acetaldehyde and ethanol metabolism </w:t>
      </w:r>
      <w:r w:rsidRPr="00147F37">
        <w:rPr>
          <w:i/>
          <w:color w:val="000000" w:themeColor="text1"/>
        </w:rPr>
        <w:t>in vivo</w:t>
      </w:r>
      <w:r w:rsidRPr="00147F37">
        <w:rPr>
          <w:color w:val="000000" w:themeColor="text1"/>
        </w:rPr>
        <w:t xml:space="preserve">. </w:t>
      </w:r>
      <w:r w:rsidRPr="00147F37">
        <w:rPr>
          <w:b/>
          <w:i/>
          <w:color w:val="000000" w:themeColor="text1"/>
        </w:rPr>
        <w:t xml:space="preserve">PNAS </w:t>
      </w:r>
      <w:r w:rsidRPr="00147F37">
        <w:rPr>
          <w:color w:val="000000" w:themeColor="text1"/>
        </w:rPr>
        <w:t>2015;</w:t>
      </w:r>
      <w:r w:rsidR="00DA0B1D" w:rsidRPr="00147F37">
        <w:rPr>
          <w:color w:val="000000" w:themeColor="text1"/>
        </w:rPr>
        <w:t xml:space="preserve"> </w:t>
      </w:r>
      <w:r w:rsidRPr="00147F37">
        <w:rPr>
          <w:color w:val="000000" w:themeColor="text1"/>
          <w:u w:val="single"/>
        </w:rPr>
        <w:t>112</w:t>
      </w:r>
      <w:r w:rsidRPr="00147F37">
        <w:rPr>
          <w:color w:val="000000" w:themeColor="text1"/>
        </w:rPr>
        <w:t>: 3074-3079. PMCID: PMC4364197</w:t>
      </w:r>
    </w:p>
    <w:p w14:paraId="3FA58D75" w14:textId="77777777" w:rsidR="00053D28" w:rsidRPr="00147F37" w:rsidRDefault="00053D28" w:rsidP="00053D28">
      <w:pPr>
        <w:pStyle w:val="ListParagraph"/>
        <w:ind w:left="360"/>
        <w:jc w:val="both"/>
        <w:rPr>
          <w:color w:val="000000" w:themeColor="text1"/>
        </w:rPr>
      </w:pPr>
      <w:r w:rsidRPr="00147F37">
        <w:rPr>
          <w:color w:val="000000" w:themeColor="text1"/>
        </w:rPr>
        <w:tab/>
      </w:r>
    </w:p>
    <w:p w14:paraId="4D30877D" w14:textId="024F5431" w:rsidR="00053D28" w:rsidRPr="00147F37" w:rsidRDefault="00053D28" w:rsidP="00767652">
      <w:pPr>
        <w:pStyle w:val="ListParagraph"/>
        <w:numPr>
          <w:ilvl w:val="0"/>
          <w:numId w:val="27"/>
        </w:numPr>
        <w:ind w:left="270" w:hanging="270"/>
        <w:jc w:val="both"/>
        <w:rPr>
          <w:color w:val="000000" w:themeColor="text1"/>
        </w:rPr>
      </w:pPr>
      <w:r w:rsidRPr="00147F37">
        <w:rPr>
          <w:color w:val="000000" w:themeColor="text1"/>
        </w:rPr>
        <w:t xml:space="preserve">We recently discovered that PKC delta affects mitochondrial dynamics. Frustrated with </w:t>
      </w:r>
      <w:r w:rsidR="00945A67">
        <w:rPr>
          <w:color w:val="000000" w:themeColor="text1"/>
        </w:rPr>
        <w:t xml:space="preserve">the </w:t>
      </w:r>
      <w:r w:rsidRPr="00147F37">
        <w:rPr>
          <w:color w:val="000000" w:themeColor="text1"/>
        </w:rPr>
        <w:t>lack of proper pharmacological tools to study mitochondria</w:t>
      </w:r>
      <w:r w:rsidR="00945A67">
        <w:rPr>
          <w:color w:val="000000" w:themeColor="text1"/>
        </w:rPr>
        <w:t>l</w:t>
      </w:r>
      <w:r w:rsidRPr="00147F37">
        <w:rPr>
          <w:color w:val="000000" w:themeColor="text1"/>
        </w:rPr>
        <w:t xml:space="preserve"> dynamics, we decided to develop our own. Mitochondrial dynamics is regulated by four large GTPases, dynamin</w:t>
      </w:r>
      <w:r w:rsidR="00945A67">
        <w:rPr>
          <w:color w:val="000000" w:themeColor="text1"/>
        </w:rPr>
        <w:t>-</w:t>
      </w:r>
      <w:r w:rsidRPr="00147F37">
        <w:rPr>
          <w:color w:val="000000" w:themeColor="text1"/>
        </w:rPr>
        <w:t>related protein 1 (Drp1), mitofusin 1 and 2 (MFN1/2)</w:t>
      </w:r>
      <w:r w:rsidR="00945A67">
        <w:rPr>
          <w:color w:val="000000" w:themeColor="text1"/>
        </w:rPr>
        <w:t>,</w:t>
      </w:r>
      <w:r w:rsidRPr="00147F37">
        <w:rPr>
          <w:color w:val="000000" w:themeColor="text1"/>
        </w:rPr>
        <w:t xml:space="preserve"> and optic atrophy 1 (Opa1). Instead of focusing on the catalytic (GTPase) site to generate inhibitors of these enzymes, we focused on inhibiting their interactions with their partner proteins. One of these inhibitors, P110, selectively inhibited pathological fission and cell death in cell culture models of Huntington</w:t>
      </w:r>
      <w:r w:rsidR="00F7537B">
        <w:rPr>
          <w:color w:val="000000" w:themeColor="text1"/>
        </w:rPr>
        <w:t>’s</w:t>
      </w:r>
      <w:r w:rsidRPr="00147F37">
        <w:rPr>
          <w:color w:val="000000" w:themeColor="text1"/>
        </w:rPr>
        <w:t xml:space="preserve"> and Parkinson</w:t>
      </w:r>
      <w:r w:rsidR="00F7537B">
        <w:rPr>
          <w:color w:val="000000" w:themeColor="text1"/>
        </w:rPr>
        <w:t>’s</w:t>
      </w:r>
      <w:r w:rsidRPr="00147F37">
        <w:rPr>
          <w:color w:val="000000" w:themeColor="text1"/>
        </w:rPr>
        <w:t xml:space="preserve"> disease, a</w:t>
      </w:r>
      <w:r w:rsidR="00F7537B">
        <w:rPr>
          <w:color w:val="000000" w:themeColor="text1"/>
        </w:rPr>
        <w:t>s well as</w:t>
      </w:r>
      <w:r w:rsidRPr="00147F37">
        <w:rPr>
          <w:color w:val="000000" w:themeColor="text1"/>
        </w:rPr>
        <w:t xml:space="preserve"> in patient-derived iPSC cells and neurons</w:t>
      </w:r>
      <w:r w:rsidR="00F7537B">
        <w:rPr>
          <w:color w:val="000000" w:themeColor="text1"/>
        </w:rPr>
        <w:t>,</w:t>
      </w:r>
      <w:r w:rsidRPr="00147F37">
        <w:rPr>
          <w:color w:val="000000" w:themeColor="text1"/>
        </w:rPr>
        <w:t xml:space="preserve"> without affecting mitochondrial dynamics in cells derived from healthy humans. Inhibitors of mitochondrial fission are toxic because fission and fusion </w:t>
      </w:r>
      <w:r w:rsidR="00F7537B">
        <w:rPr>
          <w:color w:val="000000" w:themeColor="text1"/>
        </w:rPr>
        <w:t>must</w:t>
      </w:r>
      <w:r w:rsidRPr="00147F37">
        <w:rPr>
          <w:color w:val="000000" w:themeColor="text1"/>
        </w:rPr>
        <w:t xml:space="preserve"> be balanced for normal mitochondrial function. P110 is unique, as it selectively inhibits only pathological fission without affecting basal fission. Another inhibitor that we developed</w:t>
      </w:r>
      <w:r w:rsidR="00F7537B">
        <w:rPr>
          <w:color w:val="000000" w:themeColor="text1"/>
        </w:rPr>
        <w:t>,</w:t>
      </w:r>
      <w:r w:rsidRPr="00147F37">
        <w:rPr>
          <w:color w:val="000000" w:themeColor="text1"/>
        </w:rPr>
        <w:t xml:space="preserve"> </w:t>
      </w:r>
      <w:r w:rsidR="00F7537B">
        <w:rPr>
          <w:color w:val="000000" w:themeColor="text1"/>
        </w:rPr>
        <w:t>which</w:t>
      </w:r>
      <w:r w:rsidRPr="00147F37">
        <w:rPr>
          <w:color w:val="000000" w:themeColor="text1"/>
        </w:rPr>
        <w:t xml:space="preserve"> affect</w:t>
      </w:r>
      <w:r w:rsidR="00F7537B">
        <w:rPr>
          <w:color w:val="000000" w:themeColor="text1"/>
        </w:rPr>
        <w:t>s</w:t>
      </w:r>
      <w:r w:rsidRPr="00147F37">
        <w:rPr>
          <w:color w:val="000000" w:themeColor="text1"/>
        </w:rPr>
        <w:t xml:space="preserve"> basal fission</w:t>
      </w:r>
      <w:r w:rsidR="00F7537B">
        <w:rPr>
          <w:color w:val="000000" w:themeColor="text1"/>
        </w:rPr>
        <w:t>,</w:t>
      </w:r>
      <w:r w:rsidRPr="00147F37">
        <w:rPr>
          <w:color w:val="000000" w:themeColor="text1"/>
        </w:rPr>
        <w:t xml:space="preserve"> is, as expected, toxic </w:t>
      </w:r>
      <w:r w:rsidRPr="00147F37">
        <w:rPr>
          <w:i/>
          <w:color w:val="000000" w:themeColor="text1"/>
        </w:rPr>
        <w:t>in vivo</w:t>
      </w:r>
      <w:r w:rsidRPr="00147F37">
        <w:rPr>
          <w:color w:val="000000" w:themeColor="text1"/>
        </w:rPr>
        <w:t xml:space="preserve">. Importantly, P110 was effective in inhibiting </w:t>
      </w:r>
      <w:r w:rsidR="00F7537B">
        <w:rPr>
          <w:color w:val="000000" w:themeColor="text1"/>
        </w:rPr>
        <w:t xml:space="preserve">the </w:t>
      </w:r>
      <w:r w:rsidRPr="00147F37">
        <w:rPr>
          <w:color w:val="000000" w:themeColor="text1"/>
        </w:rPr>
        <w:t xml:space="preserve">progression and early death of animal models of Huntington disease. Finally, P110 is effective in other models of human diseases, </w:t>
      </w:r>
      <w:r w:rsidRPr="00147F37">
        <w:rPr>
          <w:i/>
          <w:color w:val="000000" w:themeColor="text1"/>
        </w:rPr>
        <w:t>e.g</w:t>
      </w:r>
      <w:r w:rsidRPr="00147F37">
        <w:rPr>
          <w:color w:val="000000" w:themeColor="text1"/>
        </w:rPr>
        <w:t>., progression to heart failure after myocardial infarction, in multiple neurodegenerative diseases</w:t>
      </w:r>
      <w:r w:rsidR="00F7537B">
        <w:rPr>
          <w:color w:val="000000" w:themeColor="text1"/>
        </w:rPr>
        <w:t>,</w:t>
      </w:r>
      <w:r w:rsidRPr="00147F37">
        <w:rPr>
          <w:color w:val="000000" w:themeColor="text1"/>
        </w:rPr>
        <w:t xml:space="preserve"> and it is a key inhibitor of neuroinflammation.</w:t>
      </w:r>
    </w:p>
    <w:p w14:paraId="25578B8F" w14:textId="77777777" w:rsidR="00053D28" w:rsidRPr="00147F37" w:rsidRDefault="00053D28" w:rsidP="00053D28">
      <w:pPr>
        <w:spacing w:line="120" w:lineRule="auto"/>
        <w:jc w:val="both"/>
        <w:rPr>
          <w:color w:val="000000" w:themeColor="text1"/>
        </w:rPr>
      </w:pPr>
    </w:p>
    <w:p w14:paraId="59CA92E9" w14:textId="3677252D" w:rsidR="00053D28" w:rsidRPr="00147F37" w:rsidRDefault="00053D28" w:rsidP="008B175C">
      <w:pPr>
        <w:pStyle w:val="ListParagraph"/>
        <w:numPr>
          <w:ilvl w:val="0"/>
          <w:numId w:val="33"/>
        </w:numPr>
        <w:tabs>
          <w:tab w:val="left" w:pos="99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rPr>
      </w:pPr>
      <w:r w:rsidRPr="00147F37">
        <w:rPr>
          <w:color w:val="000000" w:themeColor="text1"/>
        </w:rPr>
        <w:t xml:space="preserve">Qi X, Qvit N, Su YC, </w:t>
      </w:r>
      <w:r w:rsidRPr="00147F37">
        <w:rPr>
          <w:b/>
          <w:bCs/>
          <w:caps/>
          <w:color w:val="000000" w:themeColor="text1"/>
        </w:rPr>
        <w:t>Mochly-Rosen</w:t>
      </w:r>
      <w:r w:rsidRPr="00147F37">
        <w:rPr>
          <w:b/>
          <w:bCs/>
          <w:color w:val="000000" w:themeColor="text1"/>
        </w:rPr>
        <w:t xml:space="preserve"> D</w:t>
      </w:r>
      <w:r w:rsidRPr="00147F37">
        <w:rPr>
          <w:color w:val="000000" w:themeColor="text1"/>
        </w:rPr>
        <w:t xml:space="preserve">. A novel Drp1 inhibitor diminishes aberrant mitochondrial fission and neurotoxicity. </w:t>
      </w:r>
      <w:r w:rsidRPr="00147F37">
        <w:rPr>
          <w:b/>
          <w:i/>
          <w:color w:val="000000" w:themeColor="text1"/>
        </w:rPr>
        <w:t>J Cell Sci</w:t>
      </w:r>
      <w:r w:rsidRPr="00147F37">
        <w:rPr>
          <w:color w:val="000000" w:themeColor="text1"/>
        </w:rPr>
        <w:t xml:space="preserve"> 2013;</w:t>
      </w:r>
      <w:r w:rsidR="00DA0B1D" w:rsidRPr="00147F37">
        <w:rPr>
          <w:color w:val="000000" w:themeColor="text1"/>
        </w:rPr>
        <w:t xml:space="preserve"> </w:t>
      </w:r>
      <w:r w:rsidRPr="00147F37">
        <w:rPr>
          <w:color w:val="000000" w:themeColor="text1"/>
          <w:u w:val="single"/>
        </w:rPr>
        <w:t>126</w:t>
      </w:r>
      <w:r w:rsidRPr="00147F37">
        <w:rPr>
          <w:color w:val="000000" w:themeColor="text1"/>
        </w:rPr>
        <w:t>:789-802. PMCID: PMC3619809</w:t>
      </w:r>
    </w:p>
    <w:p w14:paraId="4B72DFF1" w14:textId="0B833839" w:rsidR="00053D28" w:rsidRPr="00147F37" w:rsidRDefault="00053D28" w:rsidP="008B175C">
      <w:pPr>
        <w:pStyle w:val="ListParagraph"/>
        <w:numPr>
          <w:ilvl w:val="0"/>
          <w:numId w:val="33"/>
        </w:numPr>
        <w:tabs>
          <w:tab w:val="left" w:pos="99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rPr>
      </w:pPr>
      <w:r w:rsidRPr="00147F37">
        <w:rPr>
          <w:color w:val="000000" w:themeColor="text1"/>
        </w:rPr>
        <w:t xml:space="preserve">Disatnik MH, Ferreira JC, Campos JC, Gomes KS, Dourado PM, Qi X, </w:t>
      </w:r>
      <w:r w:rsidRPr="00147F37">
        <w:rPr>
          <w:b/>
          <w:bCs/>
          <w:caps/>
          <w:color w:val="000000" w:themeColor="text1"/>
        </w:rPr>
        <w:t>Mochly-Rosen</w:t>
      </w:r>
      <w:r w:rsidRPr="00147F37">
        <w:rPr>
          <w:b/>
          <w:bCs/>
          <w:color w:val="000000" w:themeColor="text1"/>
        </w:rPr>
        <w:t xml:space="preserve"> D</w:t>
      </w:r>
      <w:r w:rsidRPr="00147F37">
        <w:rPr>
          <w:color w:val="000000" w:themeColor="text1"/>
        </w:rPr>
        <w:t xml:space="preserve">. Acute inhibition of excessive mitochondrial fission after myocardial infarction prevents long-term cardiac dysfunction. </w:t>
      </w:r>
      <w:r w:rsidRPr="00147F37">
        <w:rPr>
          <w:b/>
          <w:i/>
          <w:color w:val="000000" w:themeColor="text1"/>
        </w:rPr>
        <w:t>J Am Heart Assoc</w:t>
      </w:r>
      <w:r w:rsidRPr="00147F37">
        <w:rPr>
          <w:b/>
          <w:color w:val="000000" w:themeColor="text1"/>
        </w:rPr>
        <w:t>.</w:t>
      </w:r>
      <w:r w:rsidRPr="00147F37">
        <w:rPr>
          <w:color w:val="000000" w:themeColor="text1"/>
        </w:rPr>
        <w:t xml:space="preserve"> 2013;</w:t>
      </w:r>
      <w:r w:rsidR="00DA0B1D" w:rsidRPr="00147F37">
        <w:rPr>
          <w:color w:val="000000" w:themeColor="text1"/>
        </w:rPr>
        <w:t xml:space="preserve"> </w:t>
      </w:r>
      <w:r w:rsidRPr="00147F37">
        <w:rPr>
          <w:color w:val="000000" w:themeColor="text1"/>
          <w:u w:val="single"/>
        </w:rPr>
        <w:t>2</w:t>
      </w:r>
      <w:r w:rsidRPr="00147F37">
        <w:rPr>
          <w:color w:val="000000" w:themeColor="text1"/>
        </w:rPr>
        <w:t>:e000461. PMCID: PMC3835263</w:t>
      </w:r>
    </w:p>
    <w:p w14:paraId="1105FE97" w14:textId="385D9A11" w:rsidR="00053D28" w:rsidRPr="00147F37" w:rsidRDefault="00053D28" w:rsidP="008B175C">
      <w:pPr>
        <w:pStyle w:val="HTMLPreformatted"/>
        <w:numPr>
          <w:ilvl w:val="0"/>
          <w:numId w:val="33"/>
        </w:numPr>
        <w:tabs>
          <w:tab w:val="clear" w:pos="916"/>
          <w:tab w:val="left" w:pos="990"/>
        </w:tabs>
        <w:jc w:val="both"/>
        <w:rPr>
          <w:rFonts w:ascii="Arial" w:hAnsi="Arial" w:cs="Arial"/>
          <w:color w:val="000000" w:themeColor="text1"/>
          <w:sz w:val="22"/>
          <w:szCs w:val="22"/>
        </w:rPr>
      </w:pPr>
      <w:r w:rsidRPr="00147F37">
        <w:rPr>
          <w:rFonts w:ascii="Arial" w:hAnsi="Arial" w:cs="Arial"/>
          <w:color w:val="000000" w:themeColor="text1"/>
          <w:sz w:val="22"/>
          <w:szCs w:val="22"/>
        </w:rPr>
        <w:t>Joshi AU, Saw NL, Vogel H, Cunni</w:t>
      </w:r>
      <w:r w:rsidR="00F7537B">
        <w:rPr>
          <w:rFonts w:ascii="Arial" w:hAnsi="Arial" w:cs="Arial"/>
          <w:color w:val="000000" w:themeColor="text1"/>
          <w:sz w:val="22"/>
          <w:szCs w:val="22"/>
        </w:rPr>
        <w:t>n</w:t>
      </w:r>
      <w:r w:rsidRPr="00147F37">
        <w:rPr>
          <w:rFonts w:ascii="Arial" w:hAnsi="Arial" w:cs="Arial"/>
          <w:color w:val="000000" w:themeColor="text1"/>
          <w:sz w:val="22"/>
          <w:szCs w:val="22"/>
        </w:rPr>
        <w:t xml:space="preserve">gham AD, Shamloo M, </w:t>
      </w:r>
      <w:r w:rsidRPr="00147F37">
        <w:rPr>
          <w:rFonts w:ascii="Arial" w:hAnsi="Arial" w:cs="Arial"/>
          <w:b/>
          <w:bCs/>
          <w:color w:val="000000" w:themeColor="text1"/>
          <w:sz w:val="22"/>
          <w:szCs w:val="22"/>
        </w:rPr>
        <w:t>MOCHLY-ROSEN D</w:t>
      </w:r>
      <w:r w:rsidRPr="00147F37">
        <w:rPr>
          <w:rFonts w:ascii="Arial" w:hAnsi="Arial" w:cs="Arial"/>
          <w:color w:val="000000" w:themeColor="text1"/>
          <w:sz w:val="22"/>
          <w:szCs w:val="22"/>
        </w:rPr>
        <w:t xml:space="preserve">. Inhibition of Drp1/Fis1 interaction slows progression of amyotrophic lateral sclerosis. </w:t>
      </w:r>
      <w:r w:rsidRPr="00147F37">
        <w:rPr>
          <w:rFonts w:ascii="Arial" w:hAnsi="Arial" w:cs="Arial"/>
          <w:b/>
          <w:bCs/>
          <w:i/>
          <w:iCs/>
          <w:color w:val="000000" w:themeColor="text1"/>
          <w:sz w:val="22"/>
          <w:szCs w:val="22"/>
        </w:rPr>
        <w:t>EMBO Mol Med</w:t>
      </w:r>
      <w:r w:rsidRPr="00147F37">
        <w:rPr>
          <w:rFonts w:ascii="Arial" w:hAnsi="Arial" w:cs="Arial"/>
          <w:color w:val="000000" w:themeColor="text1"/>
          <w:sz w:val="22"/>
          <w:szCs w:val="22"/>
        </w:rPr>
        <w:t>. 2018;</w:t>
      </w:r>
      <w:r w:rsidR="002C755C" w:rsidRPr="00147F37">
        <w:rPr>
          <w:rFonts w:ascii="Arial" w:hAnsi="Arial" w:cs="Arial"/>
          <w:color w:val="000000" w:themeColor="text1"/>
          <w:sz w:val="22"/>
          <w:szCs w:val="22"/>
        </w:rPr>
        <w:t xml:space="preserve"> </w:t>
      </w:r>
      <w:r w:rsidRPr="00147F37">
        <w:rPr>
          <w:rFonts w:ascii="Arial" w:hAnsi="Arial" w:cs="Arial"/>
          <w:color w:val="000000" w:themeColor="text1"/>
          <w:sz w:val="22"/>
          <w:szCs w:val="22"/>
          <w:u w:val="single"/>
        </w:rPr>
        <w:t>10</w:t>
      </w:r>
      <w:r w:rsidR="00D36459" w:rsidRPr="00147F37">
        <w:rPr>
          <w:rFonts w:ascii="Arial" w:hAnsi="Arial" w:cs="Arial"/>
          <w:color w:val="000000" w:themeColor="text1"/>
          <w:sz w:val="22"/>
          <w:szCs w:val="22"/>
          <w:u w:val="single"/>
        </w:rPr>
        <w:t>:</w:t>
      </w:r>
      <w:r w:rsidR="00115D1F" w:rsidRPr="00147F37">
        <w:rPr>
          <w:rFonts w:ascii="Arial" w:hAnsi="Arial" w:cs="Arial"/>
          <w:color w:val="000000" w:themeColor="text1"/>
          <w:sz w:val="22"/>
          <w:szCs w:val="22"/>
        </w:rPr>
        <w:t>e1866</w:t>
      </w:r>
      <w:r w:rsidRPr="00147F37">
        <w:rPr>
          <w:rFonts w:ascii="Arial" w:hAnsi="Arial" w:cs="Arial"/>
          <w:color w:val="000000" w:themeColor="text1"/>
          <w:sz w:val="22"/>
          <w:szCs w:val="22"/>
        </w:rPr>
        <w:t xml:space="preserve"> PMCID: PMC5840540</w:t>
      </w:r>
    </w:p>
    <w:p w14:paraId="2E0498C2" w14:textId="47407CBE" w:rsidR="00053D28" w:rsidRPr="00147F37" w:rsidRDefault="00053D28" w:rsidP="008B175C">
      <w:pPr>
        <w:pStyle w:val="HTMLPreformatted"/>
        <w:numPr>
          <w:ilvl w:val="0"/>
          <w:numId w:val="33"/>
        </w:numPr>
        <w:tabs>
          <w:tab w:val="clear" w:pos="916"/>
          <w:tab w:val="left" w:pos="990"/>
        </w:tabs>
        <w:jc w:val="both"/>
        <w:rPr>
          <w:rFonts w:ascii="Arial" w:hAnsi="Arial" w:cs="Arial"/>
          <w:color w:val="000000" w:themeColor="text1"/>
          <w:sz w:val="22"/>
          <w:szCs w:val="22"/>
        </w:rPr>
      </w:pPr>
      <w:r w:rsidRPr="00147F37">
        <w:rPr>
          <w:rFonts w:ascii="Arial" w:hAnsi="Arial" w:cs="Arial"/>
          <w:color w:val="000000" w:themeColor="text1"/>
          <w:sz w:val="22"/>
          <w:szCs w:val="22"/>
        </w:rPr>
        <w:t xml:space="preserve">Joshi AU, Minhas PS, Liddelow SA, Haileselassie B, Andreasson KI, Dorn GW 2nd, </w:t>
      </w:r>
      <w:r w:rsidRPr="00147F37">
        <w:rPr>
          <w:rFonts w:ascii="Arial" w:hAnsi="Arial" w:cs="Arial"/>
          <w:b/>
          <w:bCs/>
          <w:color w:val="000000" w:themeColor="text1"/>
          <w:sz w:val="22"/>
          <w:szCs w:val="22"/>
        </w:rPr>
        <w:t>MOCHLY-ROSEN D</w:t>
      </w:r>
      <w:r w:rsidRPr="00147F37">
        <w:rPr>
          <w:rFonts w:ascii="Arial" w:hAnsi="Arial" w:cs="Arial"/>
          <w:color w:val="000000" w:themeColor="text1"/>
          <w:sz w:val="22"/>
          <w:szCs w:val="22"/>
        </w:rPr>
        <w:t xml:space="preserve">. Fragmented mitochondria released from microglia trigger A1 astrocytic response and propagate inflammatory neurodegeneration. </w:t>
      </w:r>
      <w:r w:rsidRPr="00147F37">
        <w:rPr>
          <w:rFonts w:ascii="Arial" w:hAnsi="Arial" w:cs="Arial"/>
          <w:b/>
          <w:bCs/>
          <w:i/>
          <w:iCs/>
          <w:color w:val="000000" w:themeColor="text1"/>
          <w:sz w:val="22"/>
          <w:szCs w:val="22"/>
        </w:rPr>
        <w:t>Nat</w:t>
      </w:r>
      <w:r w:rsidR="004D1DD0" w:rsidRPr="00147F37">
        <w:rPr>
          <w:rFonts w:ascii="Arial" w:hAnsi="Arial" w:cs="Arial"/>
          <w:b/>
          <w:bCs/>
          <w:i/>
          <w:iCs/>
          <w:color w:val="000000" w:themeColor="text1"/>
          <w:sz w:val="22"/>
          <w:szCs w:val="22"/>
        </w:rPr>
        <w:t>ure</w:t>
      </w:r>
      <w:r w:rsidRPr="00147F37">
        <w:rPr>
          <w:rFonts w:ascii="Arial" w:hAnsi="Arial" w:cs="Arial"/>
          <w:b/>
          <w:bCs/>
          <w:i/>
          <w:iCs/>
          <w:color w:val="000000" w:themeColor="text1"/>
          <w:sz w:val="22"/>
          <w:szCs w:val="22"/>
        </w:rPr>
        <w:t xml:space="preserve"> Neurosci </w:t>
      </w:r>
      <w:r w:rsidRPr="00147F37">
        <w:rPr>
          <w:rFonts w:ascii="Arial" w:hAnsi="Arial" w:cs="Arial"/>
          <w:color w:val="000000" w:themeColor="text1"/>
          <w:sz w:val="22"/>
          <w:szCs w:val="22"/>
        </w:rPr>
        <w:t>2019;</w:t>
      </w:r>
      <w:r w:rsidR="00DA0B1D" w:rsidRPr="00147F37">
        <w:rPr>
          <w:rFonts w:ascii="Arial" w:hAnsi="Arial" w:cs="Arial"/>
          <w:color w:val="000000" w:themeColor="text1"/>
          <w:sz w:val="22"/>
          <w:szCs w:val="22"/>
        </w:rPr>
        <w:t xml:space="preserve"> </w:t>
      </w:r>
      <w:r w:rsidRPr="00147F37">
        <w:rPr>
          <w:rFonts w:ascii="Arial" w:hAnsi="Arial" w:cs="Arial"/>
          <w:color w:val="000000" w:themeColor="text1"/>
          <w:sz w:val="22"/>
          <w:szCs w:val="22"/>
          <w:u w:val="single"/>
        </w:rPr>
        <w:t>22</w:t>
      </w:r>
      <w:r w:rsidRPr="00147F37">
        <w:rPr>
          <w:rFonts w:ascii="Arial" w:hAnsi="Arial" w:cs="Arial"/>
          <w:color w:val="000000" w:themeColor="text1"/>
          <w:sz w:val="22"/>
          <w:szCs w:val="22"/>
        </w:rPr>
        <w:t>:1635-1648. PMCID: PMC6764589</w:t>
      </w:r>
    </w:p>
    <w:p w14:paraId="2E95AB98" w14:textId="77777777" w:rsidR="00D01CBA" w:rsidRDefault="00D01CBA" w:rsidP="00405F77">
      <w:pPr>
        <w:ind w:left="1170" w:hanging="450"/>
        <w:jc w:val="both"/>
        <w:rPr>
          <w:u w:val="single"/>
        </w:rPr>
      </w:pPr>
    </w:p>
    <w:p w14:paraId="36A137D9" w14:textId="77777777" w:rsidR="008D79D3" w:rsidRDefault="006162F0" w:rsidP="008D79D3">
      <w:pPr>
        <w:jc w:val="both"/>
        <w:rPr>
          <w:u w:val="single"/>
        </w:rPr>
      </w:pPr>
      <w:r>
        <w:rPr>
          <w:u w:val="single"/>
        </w:rPr>
        <w:t>Complete List of Published Work in My Bibliography:</w:t>
      </w:r>
    </w:p>
    <w:p w14:paraId="6E587FEA" w14:textId="64E09044" w:rsidR="00462CCC" w:rsidRDefault="00405F77" w:rsidP="008D79D3">
      <w:pPr>
        <w:jc w:val="both"/>
      </w:pPr>
      <w:hyperlink r:id="rId8" w:history="1">
        <w:r w:rsidRPr="000F2F4A">
          <w:rPr>
            <w:rStyle w:val="Hyperlink"/>
          </w:rPr>
          <w:t>https://www.ncbi.nlm.nih.gov/myncbi/daria.mochly-rosen.1/bibliography/public/</w:t>
        </w:r>
      </w:hyperlink>
    </w:p>
    <w:p w14:paraId="71C4F66D" w14:textId="77777777" w:rsidR="008D79D3" w:rsidRDefault="008D79D3">
      <w:pPr>
        <w:jc w:val="both"/>
      </w:pPr>
    </w:p>
    <w:sectPr w:rsidR="008D79D3" w:rsidSect="008B175C">
      <w:pgSz w:w="12240" w:h="15840"/>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2FAFF" w14:textId="77777777" w:rsidR="00231DE9" w:rsidRDefault="00231DE9" w:rsidP="002F05C0">
      <w:r>
        <w:separator/>
      </w:r>
    </w:p>
  </w:endnote>
  <w:endnote w:type="continuationSeparator" w:id="0">
    <w:p w14:paraId="768B83D3" w14:textId="77777777" w:rsidR="00231DE9" w:rsidRDefault="00231DE9" w:rsidP="002F0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408B5" w14:textId="77777777" w:rsidR="00231DE9" w:rsidRDefault="00231DE9" w:rsidP="002F05C0">
      <w:r>
        <w:separator/>
      </w:r>
    </w:p>
  </w:footnote>
  <w:footnote w:type="continuationSeparator" w:id="0">
    <w:p w14:paraId="44AF59F9" w14:textId="77777777" w:rsidR="00231DE9" w:rsidRDefault="00231DE9" w:rsidP="002F05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7780D3E"/>
    <w:lvl w:ilvl="0">
      <w:start w:val="1"/>
      <w:numFmt w:val="decimal"/>
      <w:lvlText w:val="%1."/>
      <w:lvlJc w:val="left"/>
      <w:pPr>
        <w:ind w:left="1350" w:hanging="360"/>
      </w:pPr>
      <w:rPr>
        <w:rFonts w:hint="default"/>
        <w:sz w:val="22"/>
        <w:szCs w:val="22"/>
        <w:bdr w:val="nil"/>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 w15:restartNumberingAfterBreak="0">
    <w:nsid w:val="00000002"/>
    <w:multiLevelType w:val="multilevel"/>
    <w:tmpl w:val="E056BE20"/>
    <w:lvl w:ilvl="0">
      <w:start w:val="1"/>
      <w:numFmt w:val="decimal"/>
      <w:lvlText w:val="%1."/>
      <w:lvlJc w:val="left"/>
      <w:pPr>
        <w:ind w:left="810" w:hanging="360"/>
      </w:pPr>
      <w:rPr>
        <w:sz w:val="22"/>
        <w:szCs w:val="22"/>
        <w:bdr w:val="nil"/>
      </w:rPr>
    </w:lvl>
    <w:lvl w:ilvl="1">
      <w:start w:val="1"/>
      <w:numFmt w:val="lowerLetter"/>
      <w:lvlText w:val="%2."/>
      <w:lvlJc w:val="left"/>
      <w:pPr>
        <w:tabs>
          <w:tab w:val="num" w:pos="1800"/>
        </w:tabs>
        <w:ind w:left="1800" w:hanging="360"/>
      </w:pPr>
      <w:rPr>
        <w:rFonts w:ascii="Arial" w:eastAsia="Arial" w:hAnsi="Arial" w:cs="Arial"/>
        <w:sz w:val="22"/>
        <w:szCs w:val="22"/>
        <w:bdr w:val="nil"/>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00000003"/>
    <w:multiLevelType w:val="multilevel"/>
    <w:tmpl w:val="0000000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Arial" w:eastAsia="Arial" w:hAnsi="Arial" w:cs="Arial"/>
        <w:sz w:val="22"/>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B5ECCB9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Arial" w:eastAsia="Arial" w:hAnsi="Arial" w:cs="Arial"/>
        <w:color w:val="000000" w:themeColor="text1"/>
        <w:sz w:val="22"/>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multilevel"/>
    <w:tmpl w:val="00000005"/>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Arial" w:eastAsia="Arial" w:hAnsi="Arial" w:cs="Arial"/>
        <w:sz w:val="22"/>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multilevel"/>
    <w:tmpl w:val="0000000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Arial" w:eastAsia="Arial" w:hAnsi="Arial" w:cs="Arial"/>
        <w:sz w:val="22"/>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48458C7"/>
    <w:multiLevelType w:val="hybridMultilevel"/>
    <w:tmpl w:val="98E625F0"/>
    <w:lvl w:ilvl="0" w:tplc="076292F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15:restartNumberingAfterBreak="0">
    <w:nsid w:val="0FA30A1D"/>
    <w:multiLevelType w:val="hybridMultilevel"/>
    <w:tmpl w:val="8F4E411C"/>
    <w:lvl w:ilvl="0" w:tplc="22D6B4DA">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8F3AE7"/>
    <w:multiLevelType w:val="hybridMultilevel"/>
    <w:tmpl w:val="0AE8BC90"/>
    <w:lvl w:ilvl="0" w:tplc="897E2312">
      <w:start w:val="1"/>
      <w:numFmt w:val="lowerLetter"/>
      <w:lvlText w:val="%1."/>
      <w:lvlJc w:val="left"/>
      <w:pPr>
        <w:ind w:left="81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7749DD"/>
    <w:multiLevelType w:val="hybridMultilevel"/>
    <w:tmpl w:val="B42A43EE"/>
    <w:lvl w:ilvl="0" w:tplc="04090019">
      <w:start w:val="1"/>
      <w:numFmt w:val="lowerLetter"/>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198B121C"/>
    <w:multiLevelType w:val="hybridMultilevel"/>
    <w:tmpl w:val="F8D215B6"/>
    <w:lvl w:ilvl="0" w:tplc="04090019">
      <w:start w:val="1"/>
      <w:numFmt w:val="lowerLetter"/>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1B6815F9"/>
    <w:multiLevelType w:val="hybridMultilevel"/>
    <w:tmpl w:val="07EA0484"/>
    <w:lvl w:ilvl="0" w:tplc="9640AF36">
      <w:start w:val="1"/>
      <w:numFmt w:val="lowerLetter"/>
      <w:lvlText w:val="%1."/>
      <w:lvlJc w:val="left"/>
      <w:pPr>
        <w:ind w:left="720" w:hanging="360"/>
      </w:pPr>
      <w:rPr>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2276A4"/>
    <w:multiLevelType w:val="hybridMultilevel"/>
    <w:tmpl w:val="3984C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0C1DDB"/>
    <w:multiLevelType w:val="hybridMultilevel"/>
    <w:tmpl w:val="CCB24B18"/>
    <w:lvl w:ilvl="0" w:tplc="5C5A61B0">
      <w:start w:val="1"/>
      <w:numFmt w:val="lowerLetter"/>
      <w:lvlText w:val="%1."/>
      <w:lvlJc w:val="left"/>
      <w:pPr>
        <w:ind w:left="990" w:hanging="360"/>
      </w:pPr>
      <w:rPr>
        <w:color w:val="000000" w:themeColor="text1"/>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24DA68CB"/>
    <w:multiLevelType w:val="multilevel"/>
    <w:tmpl w:val="E96C5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EA2A78"/>
    <w:multiLevelType w:val="hybridMultilevel"/>
    <w:tmpl w:val="3FFC24BA"/>
    <w:lvl w:ilvl="0" w:tplc="35740E2E">
      <w:start w:val="1"/>
      <w:numFmt w:val="lowerLetter"/>
      <w:lvlText w:val="%1."/>
      <w:lvlJc w:val="left"/>
      <w:pPr>
        <w:ind w:left="990" w:hanging="360"/>
      </w:pPr>
      <w:rPr>
        <w:color w:val="000000" w:themeColor="text1"/>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273726B6"/>
    <w:multiLevelType w:val="hybridMultilevel"/>
    <w:tmpl w:val="41827202"/>
    <w:lvl w:ilvl="0" w:tplc="4FAC0752">
      <w:start w:val="1"/>
      <w:numFmt w:val="lowerLetter"/>
      <w:lvlText w:val="%1."/>
      <w:lvlJc w:val="left"/>
      <w:pPr>
        <w:ind w:left="990" w:hanging="360"/>
      </w:pPr>
      <w:rPr>
        <w:b w:val="0"/>
        <w:bCs w:val="0"/>
        <w:color w:val="000000" w:themeColor="text1"/>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297930E4"/>
    <w:multiLevelType w:val="hybridMultilevel"/>
    <w:tmpl w:val="CA20B0AC"/>
    <w:lvl w:ilvl="0" w:tplc="5C8CD7BE">
      <w:start w:val="1"/>
      <w:numFmt w:val="lowerLetter"/>
      <w:lvlText w:val="%1."/>
      <w:lvlJc w:val="left"/>
      <w:pPr>
        <w:ind w:left="1080" w:hanging="360"/>
      </w:pPr>
      <w:rPr>
        <w:rFonts w:ascii="Arial" w:eastAsia="Arial" w:hAnsi="Arial" w:cs="Arial"/>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CAA185E"/>
    <w:multiLevelType w:val="hybridMultilevel"/>
    <w:tmpl w:val="1B54F042"/>
    <w:lvl w:ilvl="0" w:tplc="CA1C1132">
      <w:start w:val="1"/>
      <w:numFmt w:val="lowerLetter"/>
      <w:lvlText w:val="%1."/>
      <w:lvlJc w:val="left"/>
      <w:pPr>
        <w:ind w:left="990" w:hanging="360"/>
      </w:pPr>
      <w:rPr>
        <w:b w:val="0"/>
        <w:bCs w:val="0"/>
        <w:color w:val="000000" w:themeColor="text1"/>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3E667ED4"/>
    <w:multiLevelType w:val="hybridMultilevel"/>
    <w:tmpl w:val="598823AE"/>
    <w:lvl w:ilvl="0" w:tplc="F822D79C">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F02056"/>
    <w:multiLevelType w:val="multilevel"/>
    <w:tmpl w:val="00000003"/>
    <w:lvl w:ilvl="0">
      <w:start w:val="1"/>
      <w:numFmt w:val="lowerLetter"/>
      <w:lvlText w:val="%1."/>
      <w:lvlJc w:val="left"/>
      <w:pPr>
        <w:tabs>
          <w:tab w:val="num" w:pos="1080"/>
        </w:tabs>
        <w:ind w:left="1080" w:hanging="360"/>
      </w:pPr>
    </w:lvl>
    <w:lvl w:ilvl="1">
      <w:start w:val="1"/>
      <w:numFmt w:val="lowerLetter"/>
      <w:lvlText w:val="%2."/>
      <w:lvlJc w:val="left"/>
      <w:pPr>
        <w:tabs>
          <w:tab w:val="num" w:pos="1440"/>
        </w:tabs>
        <w:ind w:left="1440" w:hanging="360"/>
      </w:pPr>
      <w:rPr>
        <w:rFonts w:ascii="Arial" w:eastAsia="Arial" w:hAnsi="Arial" w:cs="Arial"/>
        <w:sz w:val="22"/>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73C0AE5"/>
    <w:multiLevelType w:val="hybridMultilevel"/>
    <w:tmpl w:val="6B6201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262779"/>
    <w:multiLevelType w:val="hybridMultilevel"/>
    <w:tmpl w:val="EFAE6F0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8360D2A"/>
    <w:multiLevelType w:val="hybridMultilevel"/>
    <w:tmpl w:val="58201464"/>
    <w:lvl w:ilvl="0" w:tplc="962C84A4">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A01179"/>
    <w:multiLevelType w:val="hybridMultilevel"/>
    <w:tmpl w:val="C73E0F38"/>
    <w:lvl w:ilvl="0" w:tplc="2C426B18">
      <w:start w:val="1"/>
      <w:numFmt w:val="lowerLetter"/>
      <w:lvlText w:val="%1."/>
      <w:lvlJc w:val="left"/>
      <w:pPr>
        <w:ind w:left="1354" w:hanging="360"/>
      </w:pPr>
      <w:rPr>
        <w:color w:val="000000" w:themeColor="text1"/>
      </w:r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5" w15:restartNumberingAfterBreak="0">
    <w:nsid w:val="612D52A2"/>
    <w:multiLevelType w:val="hybridMultilevel"/>
    <w:tmpl w:val="CAA6C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4769F7"/>
    <w:multiLevelType w:val="hybridMultilevel"/>
    <w:tmpl w:val="E4E85710"/>
    <w:lvl w:ilvl="0" w:tplc="712655F4">
      <w:start w:val="3"/>
      <w:numFmt w:val="bullet"/>
      <w:lvlText w:val="-"/>
      <w:lvlJc w:val="left"/>
      <w:pPr>
        <w:ind w:left="787" w:hanging="360"/>
      </w:pPr>
      <w:rPr>
        <w:rFonts w:ascii="Arial" w:eastAsia="Times New Roman" w:hAnsi="Arial" w:cs="Arial" w:hint="default"/>
        <w:color w:val="000000" w:themeColor="text1"/>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27" w15:restartNumberingAfterBreak="0">
    <w:nsid w:val="700823EA"/>
    <w:multiLevelType w:val="hybridMultilevel"/>
    <w:tmpl w:val="5204C764"/>
    <w:lvl w:ilvl="0" w:tplc="04090019">
      <w:start w:val="3"/>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5D4FDA"/>
    <w:multiLevelType w:val="hybridMultilevel"/>
    <w:tmpl w:val="2BE2090E"/>
    <w:lvl w:ilvl="0" w:tplc="BD424784">
      <w:start w:val="3"/>
      <w:numFmt w:val="bullet"/>
      <w:lvlText w:val="-"/>
      <w:lvlJc w:val="left"/>
      <w:pPr>
        <w:ind w:left="720" w:hanging="360"/>
      </w:pPr>
      <w:rPr>
        <w:rFonts w:ascii="Arial" w:eastAsia="Times New Roman" w:hAnsi="Arial" w:cs="Aria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347D8B"/>
    <w:multiLevelType w:val="hybridMultilevel"/>
    <w:tmpl w:val="8E8E4B3C"/>
    <w:lvl w:ilvl="0" w:tplc="962C84A4">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A2668A"/>
    <w:multiLevelType w:val="hybridMultilevel"/>
    <w:tmpl w:val="2AB27138"/>
    <w:lvl w:ilvl="0" w:tplc="04090019">
      <w:start w:val="1"/>
      <w:numFmt w:val="lowerLetter"/>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1" w15:restartNumberingAfterBreak="0">
    <w:nsid w:val="7A2D6C25"/>
    <w:multiLevelType w:val="hybridMultilevel"/>
    <w:tmpl w:val="A5E4BF64"/>
    <w:lvl w:ilvl="0" w:tplc="19AE822C">
      <w:start w:val="1"/>
      <w:numFmt w:val="lowerLetter"/>
      <w:lvlText w:val="%1."/>
      <w:lvlJc w:val="left"/>
      <w:pPr>
        <w:ind w:left="990" w:hanging="360"/>
      </w:pPr>
      <w:rPr>
        <w:color w:val="000000" w:themeColor="text1"/>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 w15:restartNumberingAfterBreak="0">
    <w:nsid w:val="7DA16668"/>
    <w:multiLevelType w:val="hybridMultilevel"/>
    <w:tmpl w:val="030C3A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F203E3"/>
    <w:multiLevelType w:val="hybridMultilevel"/>
    <w:tmpl w:val="486CD38E"/>
    <w:lvl w:ilvl="0" w:tplc="8B0266B8">
      <w:start w:val="1"/>
      <w:numFmt w:val="lowerLetter"/>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0741482">
    <w:abstractNumId w:val="0"/>
  </w:num>
  <w:num w:numId="2" w16cid:durableId="2002466096">
    <w:abstractNumId w:val="1"/>
  </w:num>
  <w:num w:numId="3" w16cid:durableId="1171482339">
    <w:abstractNumId w:val="2"/>
  </w:num>
  <w:num w:numId="4" w16cid:durableId="1501503842">
    <w:abstractNumId w:val="3"/>
  </w:num>
  <w:num w:numId="5" w16cid:durableId="2027562925">
    <w:abstractNumId w:val="4"/>
  </w:num>
  <w:num w:numId="6" w16cid:durableId="474492332">
    <w:abstractNumId w:val="5"/>
  </w:num>
  <w:num w:numId="7" w16cid:durableId="1843428707">
    <w:abstractNumId w:val="14"/>
  </w:num>
  <w:num w:numId="8" w16cid:durableId="722825049">
    <w:abstractNumId w:val="20"/>
  </w:num>
  <w:num w:numId="9" w16cid:durableId="721443695">
    <w:abstractNumId w:val="17"/>
  </w:num>
  <w:num w:numId="10" w16cid:durableId="446121263">
    <w:abstractNumId w:val="27"/>
  </w:num>
  <w:num w:numId="11" w16cid:durableId="1642735754">
    <w:abstractNumId w:val="7"/>
  </w:num>
  <w:num w:numId="12" w16cid:durableId="1348210714">
    <w:abstractNumId w:val="29"/>
  </w:num>
  <w:num w:numId="13" w16cid:durableId="1564365900">
    <w:abstractNumId w:val="19"/>
  </w:num>
  <w:num w:numId="14" w16cid:durableId="1906329414">
    <w:abstractNumId w:val="23"/>
  </w:num>
  <w:num w:numId="15" w16cid:durableId="399866906">
    <w:abstractNumId w:val="26"/>
  </w:num>
  <w:num w:numId="16" w16cid:durableId="1700472849">
    <w:abstractNumId w:val="28"/>
  </w:num>
  <w:num w:numId="17" w16cid:durableId="1928884788">
    <w:abstractNumId w:val="21"/>
  </w:num>
  <w:num w:numId="18" w16cid:durableId="1604149467">
    <w:abstractNumId w:val="32"/>
  </w:num>
  <w:num w:numId="19" w16cid:durableId="885143255">
    <w:abstractNumId w:val="24"/>
  </w:num>
  <w:num w:numId="20" w16cid:durableId="479660075">
    <w:abstractNumId w:val="31"/>
  </w:num>
  <w:num w:numId="21" w16cid:durableId="468594022">
    <w:abstractNumId w:val="9"/>
  </w:num>
  <w:num w:numId="22" w16cid:durableId="1752311070">
    <w:abstractNumId w:val="10"/>
  </w:num>
  <w:num w:numId="23" w16cid:durableId="1069186660">
    <w:abstractNumId w:val="6"/>
  </w:num>
  <w:num w:numId="24" w16cid:durableId="1401102741">
    <w:abstractNumId w:val="11"/>
  </w:num>
  <w:num w:numId="25" w16cid:durableId="1655258809">
    <w:abstractNumId w:val="33"/>
  </w:num>
  <w:num w:numId="26" w16cid:durableId="47338047">
    <w:abstractNumId w:val="8"/>
  </w:num>
  <w:num w:numId="27" w16cid:durableId="1586912734">
    <w:abstractNumId w:val="25"/>
  </w:num>
  <w:num w:numId="28" w16cid:durableId="926039655">
    <w:abstractNumId w:val="22"/>
  </w:num>
  <w:num w:numId="29" w16cid:durableId="336464314">
    <w:abstractNumId w:val="18"/>
  </w:num>
  <w:num w:numId="30" w16cid:durableId="2029061794">
    <w:abstractNumId w:val="30"/>
  </w:num>
  <w:num w:numId="31" w16cid:durableId="686443400">
    <w:abstractNumId w:val="16"/>
  </w:num>
  <w:num w:numId="32" w16cid:durableId="1528451337">
    <w:abstractNumId w:val="15"/>
  </w:num>
  <w:num w:numId="33" w16cid:durableId="190654022">
    <w:abstractNumId w:val="13"/>
  </w:num>
  <w:num w:numId="34" w16cid:durableId="198981688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CCC"/>
    <w:rsid w:val="00006222"/>
    <w:rsid w:val="00025C9E"/>
    <w:rsid w:val="0002742E"/>
    <w:rsid w:val="00053D28"/>
    <w:rsid w:val="00054BC5"/>
    <w:rsid w:val="00081287"/>
    <w:rsid w:val="000A39AA"/>
    <w:rsid w:val="000B2260"/>
    <w:rsid w:val="000D5FDC"/>
    <w:rsid w:val="000E428E"/>
    <w:rsid w:val="0010387D"/>
    <w:rsid w:val="001154B0"/>
    <w:rsid w:val="00115D1F"/>
    <w:rsid w:val="00147345"/>
    <w:rsid w:val="00147F37"/>
    <w:rsid w:val="001529AA"/>
    <w:rsid w:val="00156D46"/>
    <w:rsid w:val="00175D74"/>
    <w:rsid w:val="001B3C78"/>
    <w:rsid w:val="001D3BE1"/>
    <w:rsid w:val="00213012"/>
    <w:rsid w:val="00231DE9"/>
    <w:rsid w:val="0027006A"/>
    <w:rsid w:val="002C755C"/>
    <w:rsid w:val="002D1FDB"/>
    <w:rsid w:val="002E2224"/>
    <w:rsid w:val="002F05C0"/>
    <w:rsid w:val="00313DA9"/>
    <w:rsid w:val="00316DEF"/>
    <w:rsid w:val="003370C2"/>
    <w:rsid w:val="00361CA2"/>
    <w:rsid w:val="00382B2D"/>
    <w:rsid w:val="003C1E08"/>
    <w:rsid w:val="00405F77"/>
    <w:rsid w:val="0040702C"/>
    <w:rsid w:val="0040772F"/>
    <w:rsid w:val="00424B9E"/>
    <w:rsid w:val="0044339C"/>
    <w:rsid w:val="00462CCC"/>
    <w:rsid w:val="004C23C5"/>
    <w:rsid w:val="004C5FA2"/>
    <w:rsid w:val="004D1DD0"/>
    <w:rsid w:val="004D62F2"/>
    <w:rsid w:val="004F395C"/>
    <w:rsid w:val="0051484C"/>
    <w:rsid w:val="0051535A"/>
    <w:rsid w:val="0052655A"/>
    <w:rsid w:val="00532CDF"/>
    <w:rsid w:val="005625D3"/>
    <w:rsid w:val="005740B8"/>
    <w:rsid w:val="00576051"/>
    <w:rsid w:val="00576D1A"/>
    <w:rsid w:val="00596E7F"/>
    <w:rsid w:val="005A015C"/>
    <w:rsid w:val="005B00CC"/>
    <w:rsid w:val="005B5A45"/>
    <w:rsid w:val="005E138D"/>
    <w:rsid w:val="006162F0"/>
    <w:rsid w:val="00692AF3"/>
    <w:rsid w:val="006961F6"/>
    <w:rsid w:val="00696587"/>
    <w:rsid w:val="006C6808"/>
    <w:rsid w:val="00707493"/>
    <w:rsid w:val="00713414"/>
    <w:rsid w:val="0072526D"/>
    <w:rsid w:val="00733476"/>
    <w:rsid w:val="00733D1B"/>
    <w:rsid w:val="0074099F"/>
    <w:rsid w:val="0074472B"/>
    <w:rsid w:val="007559F0"/>
    <w:rsid w:val="00767652"/>
    <w:rsid w:val="00775CDA"/>
    <w:rsid w:val="007959C2"/>
    <w:rsid w:val="007B56AA"/>
    <w:rsid w:val="007B5A1E"/>
    <w:rsid w:val="007C6D2B"/>
    <w:rsid w:val="007D11B7"/>
    <w:rsid w:val="007E0392"/>
    <w:rsid w:val="007E1DB5"/>
    <w:rsid w:val="007E4116"/>
    <w:rsid w:val="0080034C"/>
    <w:rsid w:val="008304AE"/>
    <w:rsid w:val="008565E1"/>
    <w:rsid w:val="0086309E"/>
    <w:rsid w:val="00865616"/>
    <w:rsid w:val="008876DB"/>
    <w:rsid w:val="00894EA5"/>
    <w:rsid w:val="008A2BF2"/>
    <w:rsid w:val="008B175C"/>
    <w:rsid w:val="008C1E09"/>
    <w:rsid w:val="008C7BE7"/>
    <w:rsid w:val="008D539C"/>
    <w:rsid w:val="008D79D3"/>
    <w:rsid w:val="00916108"/>
    <w:rsid w:val="00945A67"/>
    <w:rsid w:val="00972652"/>
    <w:rsid w:val="009A4FD7"/>
    <w:rsid w:val="009E4442"/>
    <w:rsid w:val="00A24C7C"/>
    <w:rsid w:val="00A36164"/>
    <w:rsid w:val="00A7022A"/>
    <w:rsid w:val="00A77261"/>
    <w:rsid w:val="00AA4E70"/>
    <w:rsid w:val="00AD229E"/>
    <w:rsid w:val="00AE7D08"/>
    <w:rsid w:val="00B072DB"/>
    <w:rsid w:val="00B35D5C"/>
    <w:rsid w:val="00BA053A"/>
    <w:rsid w:val="00BA74B9"/>
    <w:rsid w:val="00BD1757"/>
    <w:rsid w:val="00BE6EEC"/>
    <w:rsid w:val="00BE75D8"/>
    <w:rsid w:val="00C16D90"/>
    <w:rsid w:val="00C36595"/>
    <w:rsid w:val="00C37932"/>
    <w:rsid w:val="00C67884"/>
    <w:rsid w:val="00C954FE"/>
    <w:rsid w:val="00CC7C0F"/>
    <w:rsid w:val="00CD7D25"/>
    <w:rsid w:val="00CE43AD"/>
    <w:rsid w:val="00CF3295"/>
    <w:rsid w:val="00D01CBA"/>
    <w:rsid w:val="00D2481B"/>
    <w:rsid w:val="00D36459"/>
    <w:rsid w:val="00D44B89"/>
    <w:rsid w:val="00D56827"/>
    <w:rsid w:val="00DA0B1D"/>
    <w:rsid w:val="00E00EA3"/>
    <w:rsid w:val="00E07963"/>
    <w:rsid w:val="00E44546"/>
    <w:rsid w:val="00EC1899"/>
    <w:rsid w:val="00EF3A9D"/>
    <w:rsid w:val="00F061E6"/>
    <w:rsid w:val="00F638E0"/>
    <w:rsid w:val="00F7537B"/>
    <w:rsid w:val="00F76BE7"/>
    <w:rsid w:val="00F87281"/>
    <w:rsid w:val="00F903EF"/>
    <w:rsid w:val="00FC4576"/>
    <w:rsid w:val="00FE58BF"/>
    <w:rsid w:val="00FF3731"/>
    <w:rsid w:val="00FF3964"/>
    <w:rsid w:val="00FF5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B6934"/>
  <w15:docId w15:val="{D07F5254-2888-3942-BAEE-6EEBA462F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sz w:val="22"/>
      <w:szCs w:val="22"/>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kern w:val="32"/>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Cs/>
      <w:sz w:val="36"/>
      <w:szCs w:val="36"/>
    </w:rPr>
  </w:style>
  <w:style w:type="paragraph" w:styleId="Heading3">
    <w:name w:val="heading 3"/>
    <w:basedOn w:val="Normal"/>
    <w:next w:val="Normal"/>
    <w:qFormat/>
    <w:rsid w:val="00EF7B96"/>
    <w:pPr>
      <w:keepNext/>
      <w:spacing w:before="220" w:after="30"/>
      <w:outlineLvl w:val="2"/>
    </w:pPr>
    <w:rPr>
      <w:rFonts w:ascii="Times New Roman" w:eastAsia="Times New Roman" w:hAnsi="Times New Roman" w:cs="Times New Roman"/>
      <w:b/>
      <w:bCs/>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keheader">
    <w:name w:val="likeheader"/>
    <w:basedOn w:val="Normal"/>
    <w:pPr>
      <w:jc w:val="right"/>
    </w:pPr>
    <w:rPr>
      <w:sz w:val="16"/>
      <w:szCs w:val="16"/>
    </w:rPr>
  </w:style>
  <w:style w:type="paragraph" w:customStyle="1" w:styleId="h3center">
    <w:name w:val="h3_center"/>
    <w:basedOn w:val="Heading3"/>
    <w:pPr>
      <w:jc w:val="center"/>
    </w:pPr>
  </w:style>
  <w:style w:type="paragraph" w:customStyle="1" w:styleId="sectionDescription">
    <w:name w:val="sectionDescription"/>
    <w:basedOn w:val="Normal"/>
    <w:pPr>
      <w:spacing w:after="75"/>
    </w:pPr>
    <w:rPr>
      <w:sz w:val="16"/>
      <w:szCs w:val="16"/>
    </w:rPr>
  </w:style>
  <w:style w:type="table" w:customStyle="1" w:styleId="table">
    <w:name w:val="table"/>
    <w:tblPr>
      <w:tblCellMar>
        <w:top w:w="0" w:type="dxa"/>
        <w:left w:w="0" w:type="dxa"/>
        <w:bottom w:w="0" w:type="dxa"/>
        <w:right w:w="0" w:type="dxa"/>
      </w:tblCellMar>
    </w:tblPr>
  </w:style>
  <w:style w:type="paragraph" w:customStyle="1" w:styleId="sectionEducationsectionHeader">
    <w:name w:val="sectionEducation_sectionHeader"/>
    <w:basedOn w:val="Normal"/>
    <w:pPr>
      <w:pBdr>
        <w:top w:val="nil"/>
        <w:left w:val="nil"/>
        <w:bottom w:val="nil"/>
        <w:right w:val="nil"/>
      </w:pBdr>
    </w:pPr>
  </w:style>
  <w:style w:type="paragraph" w:customStyle="1" w:styleId="annotation">
    <w:name w:val="annotation"/>
    <w:basedOn w:val="Normal"/>
  </w:style>
  <w:style w:type="character" w:customStyle="1" w:styleId="citationUlli">
    <w:name w:val="citationUl_li"/>
    <w:basedOn w:val="DefaultParagraphFont"/>
    <w:rPr>
      <w:bdr w:val="nil"/>
    </w:rPr>
  </w:style>
  <w:style w:type="paragraph" w:customStyle="1" w:styleId="citationUlliParagraph">
    <w:name w:val="citationUl_li Paragraph"/>
    <w:basedOn w:val="Normal"/>
    <w:pPr>
      <w:spacing w:after="75"/>
    </w:pPr>
  </w:style>
  <w:style w:type="paragraph" w:customStyle="1" w:styleId="h3underline">
    <w:name w:val="h3_underline"/>
    <w:basedOn w:val="Heading3"/>
    <w:rPr>
      <w:u w:val="single"/>
    </w:rPr>
  </w:style>
  <w:style w:type="paragraph" w:customStyle="1" w:styleId="grpmybib">
    <w:name w:val="grp_mybib"/>
    <w:basedOn w:val="Normal"/>
    <w:rsid w:val="00AE7D08"/>
    <w:pPr>
      <w:spacing w:before="100" w:beforeAutospacing="1" w:after="100" w:afterAutospacing="1"/>
    </w:pPr>
    <w:rPr>
      <w:rFonts w:ascii="Times New Roman" w:eastAsia="Times New Roman" w:hAnsi="Times New Roman" w:cs="Times New Roman"/>
      <w:sz w:val="24"/>
      <w:szCs w:val="24"/>
      <w:bdr w:val="none" w:sz="0" w:space="0" w:color="auto"/>
    </w:rPr>
  </w:style>
  <w:style w:type="character" w:customStyle="1" w:styleId="contributors">
    <w:name w:val="contributors"/>
    <w:basedOn w:val="DefaultParagraphFont"/>
    <w:rsid w:val="00AE7D08"/>
  </w:style>
  <w:style w:type="character" w:customStyle="1" w:styleId="citationtitle">
    <w:name w:val="citationtitle"/>
    <w:basedOn w:val="DefaultParagraphFont"/>
    <w:rsid w:val="00AE7D08"/>
  </w:style>
  <w:style w:type="paragraph" w:styleId="ListParagraph">
    <w:name w:val="List Paragraph"/>
    <w:basedOn w:val="Normal"/>
    <w:uiPriority w:val="34"/>
    <w:qFormat/>
    <w:rsid w:val="0002742E"/>
    <w:pPr>
      <w:ind w:left="720"/>
      <w:contextualSpacing/>
    </w:pPr>
  </w:style>
  <w:style w:type="paragraph" w:styleId="Header">
    <w:name w:val="header"/>
    <w:basedOn w:val="Normal"/>
    <w:link w:val="HeaderChar"/>
    <w:uiPriority w:val="99"/>
    <w:unhideWhenUsed/>
    <w:rsid w:val="002F05C0"/>
    <w:pPr>
      <w:tabs>
        <w:tab w:val="center" w:pos="4680"/>
        <w:tab w:val="right" w:pos="9360"/>
      </w:tabs>
    </w:pPr>
  </w:style>
  <w:style w:type="character" w:customStyle="1" w:styleId="HeaderChar">
    <w:name w:val="Header Char"/>
    <w:basedOn w:val="DefaultParagraphFont"/>
    <w:link w:val="Header"/>
    <w:uiPriority w:val="99"/>
    <w:rsid w:val="002F05C0"/>
    <w:rPr>
      <w:rFonts w:ascii="Arial" w:eastAsia="Arial" w:hAnsi="Arial" w:cs="Arial"/>
      <w:sz w:val="22"/>
      <w:szCs w:val="22"/>
      <w:bdr w:val="nil"/>
    </w:rPr>
  </w:style>
  <w:style w:type="paragraph" w:styleId="Footer">
    <w:name w:val="footer"/>
    <w:basedOn w:val="Normal"/>
    <w:link w:val="FooterChar"/>
    <w:uiPriority w:val="99"/>
    <w:unhideWhenUsed/>
    <w:rsid w:val="002F05C0"/>
    <w:pPr>
      <w:tabs>
        <w:tab w:val="center" w:pos="4680"/>
        <w:tab w:val="right" w:pos="9360"/>
      </w:tabs>
    </w:pPr>
  </w:style>
  <w:style w:type="character" w:customStyle="1" w:styleId="FooterChar">
    <w:name w:val="Footer Char"/>
    <w:basedOn w:val="DefaultParagraphFont"/>
    <w:link w:val="Footer"/>
    <w:uiPriority w:val="99"/>
    <w:rsid w:val="002F05C0"/>
    <w:rPr>
      <w:rFonts w:ascii="Arial" w:eastAsia="Arial" w:hAnsi="Arial" w:cs="Arial"/>
      <w:sz w:val="22"/>
      <w:szCs w:val="22"/>
      <w:bdr w:val="nil"/>
    </w:rPr>
  </w:style>
  <w:style w:type="character" w:styleId="Hyperlink">
    <w:name w:val="Hyperlink"/>
    <w:basedOn w:val="DefaultParagraphFont"/>
    <w:uiPriority w:val="99"/>
    <w:unhideWhenUsed/>
    <w:rsid w:val="00405F77"/>
    <w:rPr>
      <w:color w:val="0563C1" w:themeColor="hyperlink"/>
      <w:u w:val="single"/>
    </w:rPr>
  </w:style>
  <w:style w:type="character" w:styleId="UnresolvedMention">
    <w:name w:val="Unresolved Mention"/>
    <w:basedOn w:val="DefaultParagraphFont"/>
    <w:uiPriority w:val="99"/>
    <w:semiHidden/>
    <w:unhideWhenUsed/>
    <w:rsid w:val="00405F77"/>
    <w:rPr>
      <w:color w:val="605E5C"/>
      <w:shd w:val="clear" w:color="auto" w:fill="E1DFDD"/>
    </w:rPr>
  </w:style>
  <w:style w:type="character" w:styleId="FollowedHyperlink">
    <w:name w:val="FollowedHyperlink"/>
    <w:basedOn w:val="DefaultParagraphFont"/>
    <w:uiPriority w:val="99"/>
    <w:semiHidden/>
    <w:unhideWhenUsed/>
    <w:rsid w:val="00006222"/>
    <w:rPr>
      <w:color w:val="954F72" w:themeColor="followedHyperlink"/>
      <w:u w:val="single"/>
    </w:rPr>
  </w:style>
  <w:style w:type="character" w:customStyle="1" w:styleId="docsum-authors">
    <w:name w:val="docsum-authors"/>
    <w:basedOn w:val="DefaultParagraphFont"/>
    <w:rsid w:val="005625D3"/>
  </w:style>
  <w:style w:type="character" w:customStyle="1" w:styleId="docsum-journal-citation">
    <w:name w:val="docsum-journal-citation"/>
    <w:basedOn w:val="DefaultParagraphFont"/>
    <w:rsid w:val="005625D3"/>
  </w:style>
  <w:style w:type="character" w:styleId="CommentReference">
    <w:name w:val="annotation reference"/>
    <w:basedOn w:val="DefaultParagraphFont"/>
    <w:uiPriority w:val="99"/>
    <w:semiHidden/>
    <w:unhideWhenUsed/>
    <w:rsid w:val="00F903EF"/>
    <w:rPr>
      <w:sz w:val="16"/>
      <w:szCs w:val="16"/>
    </w:rPr>
  </w:style>
  <w:style w:type="paragraph" w:styleId="CommentText">
    <w:name w:val="annotation text"/>
    <w:basedOn w:val="Normal"/>
    <w:link w:val="CommentTextChar"/>
    <w:uiPriority w:val="99"/>
    <w:unhideWhenUsed/>
    <w:rsid w:val="00F903EF"/>
    <w:rPr>
      <w:sz w:val="20"/>
      <w:szCs w:val="20"/>
    </w:rPr>
  </w:style>
  <w:style w:type="character" w:customStyle="1" w:styleId="CommentTextChar">
    <w:name w:val="Comment Text Char"/>
    <w:basedOn w:val="DefaultParagraphFont"/>
    <w:link w:val="CommentText"/>
    <w:uiPriority w:val="99"/>
    <w:rsid w:val="00F903EF"/>
    <w:rPr>
      <w:rFonts w:ascii="Arial" w:eastAsia="Arial" w:hAnsi="Arial" w:cs="Arial"/>
      <w:bdr w:val="nil"/>
    </w:rPr>
  </w:style>
  <w:style w:type="paragraph" w:styleId="CommentSubject">
    <w:name w:val="annotation subject"/>
    <w:basedOn w:val="CommentText"/>
    <w:next w:val="CommentText"/>
    <w:link w:val="CommentSubjectChar"/>
    <w:uiPriority w:val="99"/>
    <w:semiHidden/>
    <w:unhideWhenUsed/>
    <w:rsid w:val="00F903EF"/>
    <w:rPr>
      <w:b/>
      <w:bCs/>
    </w:rPr>
  </w:style>
  <w:style w:type="character" w:customStyle="1" w:styleId="CommentSubjectChar">
    <w:name w:val="Comment Subject Char"/>
    <w:basedOn w:val="CommentTextChar"/>
    <w:link w:val="CommentSubject"/>
    <w:uiPriority w:val="99"/>
    <w:semiHidden/>
    <w:rsid w:val="00F903EF"/>
    <w:rPr>
      <w:rFonts w:ascii="Arial" w:eastAsia="Arial" w:hAnsi="Arial" w:cs="Arial"/>
      <w:b/>
      <w:bCs/>
      <w:bdr w:val="nil"/>
    </w:rPr>
  </w:style>
  <w:style w:type="paragraph" w:styleId="Revision">
    <w:name w:val="Revision"/>
    <w:hidden/>
    <w:uiPriority w:val="99"/>
    <w:semiHidden/>
    <w:rsid w:val="00F903EF"/>
    <w:rPr>
      <w:rFonts w:ascii="Arial" w:eastAsia="Arial" w:hAnsi="Arial" w:cs="Arial"/>
      <w:sz w:val="22"/>
      <w:szCs w:val="22"/>
      <w:bdr w:val="nil"/>
    </w:rPr>
  </w:style>
  <w:style w:type="paragraph" w:styleId="BodyText">
    <w:name w:val="Body Text"/>
    <w:basedOn w:val="Normal"/>
    <w:link w:val="BodyTextChar"/>
    <w:rsid w:val="00532CDF"/>
    <w:pPr>
      <w:autoSpaceDE w:val="0"/>
      <w:autoSpaceDN w:val="0"/>
      <w:spacing w:after="120"/>
    </w:pPr>
    <w:rPr>
      <w:rFonts w:eastAsia="Times New Roman" w:cs="Times New Roman"/>
      <w:szCs w:val="24"/>
      <w:bdr w:val="none" w:sz="0" w:space="0" w:color="auto"/>
    </w:rPr>
  </w:style>
  <w:style w:type="character" w:customStyle="1" w:styleId="BodyTextChar">
    <w:name w:val="Body Text Char"/>
    <w:basedOn w:val="DefaultParagraphFont"/>
    <w:link w:val="BodyText"/>
    <w:rsid w:val="00532CDF"/>
    <w:rPr>
      <w:rFonts w:ascii="Arial" w:hAnsi="Arial"/>
      <w:sz w:val="22"/>
      <w:szCs w:val="24"/>
    </w:rPr>
  </w:style>
  <w:style w:type="paragraph" w:styleId="HTMLPreformatted">
    <w:name w:val="HTML Preformatted"/>
    <w:basedOn w:val="Normal"/>
    <w:link w:val="HTMLPreformattedChar"/>
    <w:uiPriority w:val="99"/>
    <w:unhideWhenUsed/>
    <w:rsid w:val="00053D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eastAsia="Times New Roman" w:hAnsi="Courier" w:cs="Courier"/>
      <w:sz w:val="20"/>
      <w:szCs w:val="20"/>
      <w:bdr w:val="none" w:sz="0" w:space="0" w:color="auto"/>
    </w:rPr>
  </w:style>
  <w:style w:type="character" w:customStyle="1" w:styleId="HTMLPreformattedChar">
    <w:name w:val="HTML Preformatted Char"/>
    <w:basedOn w:val="DefaultParagraphFont"/>
    <w:link w:val="HTMLPreformatted"/>
    <w:uiPriority w:val="99"/>
    <w:rsid w:val="00053D28"/>
    <w:rPr>
      <w:rFonts w:ascii="Courier" w:hAnsi="Courier" w:cs="Courier"/>
    </w:rPr>
  </w:style>
  <w:style w:type="character" w:customStyle="1" w:styleId="jrnl">
    <w:name w:val="jrnl"/>
    <w:basedOn w:val="DefaultParagraphFont"/>
    <w:rsid w:val="00053D28"/>
  </w:style>
  <w:style w:type="character" w:customStyle="1" w:styleId="src">
    <w:name w:val="src"/>
    <w:basedOn w:val="DefaultParagraphFont"/>
    <w:rsid w:val="00053D28"/>
  </w:style>
  <w:style w:type="character" w:customStyle="1" w:styleId="pmid">
    <w:name w:val="pmid"/>
    <w:basedOn w:val="DefaultParagraphFont"/>
    <w:rsid w:val="00053D28"/>
  </w:style>
  <w:style w:type="character" w:customStyle="1" w:styleId="citation-part">
    <w:name w:val="citation-part"/>
    <w:basedOn w:val="DefaultParagraphFont"/>
    <w:rsid w:val="004C5FA2"/>
  </w:style>
  <w:style w:type="character" w:customStyle="1" w:styleId="docsum-pmid">
    <w:name w:val="docsum-pmid"/>
    <w:basedOn w:val="DefaultParagraphFont"/>
    <w:rsid w:val="004C5FA2"/>
  </w:style>
  <w:style w:type="paragraph" w:customStyle="1" w:styleId="OMBInfo">
    <w:name w:val="OMB Info"/>
    <w:basedOn w:val="Normal"/>
    <w:qFormat/>
    <w:rsid w:val="00382B2D"/>
    <w:pPr>
      <w:autoSpaceDE w:val="0"/>
      <w:autoSpaceDN w:val="0"/>
      <w:spacing w:after="120"/>
      <w:jc w:val="right"/>
    </w:pPr>
    <w:rPr>
      <w:rFonts w:eastAsia="Times New Roman" w:cs="Times New Roman"/>
      <w:sz w:val="16"/>
      <w:szCs w:val="24"/>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377874">
      <w:bodyDiv w:val="1"/>
      <w:marLeft w:val="0"/>
      <w:marRight w:val="0"/>
      <w:marTop w:val="0"/>
      <w:marBottom w:val="0"/>
      <w:divBdr>
        <w:top w:val="none" w:sz="0" w:space="0" w:color="auto"/>
        <w:left w:val="none" w:sz="0" w:space="0" w:color="auto"/>
        <w:bottom w:val="none" w:sz="0" w:space="0" w:color="auto"/>
        <w:right w:val="none" w:sz="0" w:space="0" w:color="auto"/>
      </w:divBdr>
    </w:div>
    <w:div w:id="638073560">
      <w:bodyDiv w:val="1"/>
      <w:marLeft w:val="0"/>
      <w:marRight w:val="0"/>
      <w:marTop w:val="0"/>
      <w:marBottom w:val="0"/>
      <w:divBdr>
        <w:top w:val="none" w:sz="0" w:space="0" w:color="auto"/>
        <w:left w:val="none" w:sz="0" w:space="0" w:color="auto"/>
        <w:bottom w:val="none" w:sz="0" w:space="0" w:color="auto"/>
        <w:right w:val="none" w:sz="0" w:space="0" w:color="auto"/>
      </w:divBdr>
      <w:divsChild>
        <w:div w:id="683089006">
          <w:marLeft w:val="0"/>
          <w:marRight w:val="0"/>
          <w:marTop w:val="0"/>
          <w:marBottom w:val="0"/>
          <w:divBdr>
            <w:top w:val="none" w:sz="0" w:space="0" w:color="auto"/>
            <w:left w:val="none" w:sz="0" w:space="0" w:color="auto"/>
            <w:bottom w:val="none" w:sz="0" w:space="0" w:color="auto"/>
            <w:right w:val="none" w:sz="0" w:space="0" w:color="auto"/>
          </w:divBdr>
        </w:div>
      </w:divsChild>
    </w:div>
    <w:div w:id="669717797">
      <w:bodyDiv w:val="1"/>
      <w:marLeft w:val="0"/>
      <w:marRight w:val="0"/>
      <w:marTop w:val="0"/>
      <w:marBottom w:val="0"/>
      <w:divBdr>
        <w:top w:val="none" w:sz="0" w:space="0" w:color="auto"/>
        <w:left w:val="none" w:sz="0" w:space="0" w:color="auto"/>
        <w:bottom w:val="none" w:sz="0" w:space="0" w:color="auto"/>
        <w:right w:val="none" w:sz="0" w:space="0" w:color="auto"/>
      </w:divBdr>
    </w:div>
    <w:div w:id="724061729">
      <w:bodyDiv w:val="1"/>
      <w:marLeft w:val="0"/>
      <w:marRight w:val="0"/>
      <w:marTop w:val="0"/>
      <w:marBottom w:val="0"/>
      <w:divBdr>
        <w:top w:val="none" w:sz="0" w:space="0" w:color="auto"/>
        <w:left w:val="none" w:sz="0" w:space="0" w:color="auto"/>
        <w:bottom w:val="none" w:sz="0" w:space="0" w:color="auto"/>
        <w:right w:val="none" w:sz="0" w:space="0" w:color="auto"/>
      </w:divBdr>
      <w:divsChild>
        <w:div w:id="1449280981">
          <w:marLeft w:val="0"/>
          <w:marRight w:val="0"/>
          <w:marTop w:val="0"/>
          <w:marBottom w:val="0"/>
          <w:divBdr>
            <w:top w:val="none" w:sz="0" w:space="0" w:color="auto"/>
            <w:left w:val="none" w:sz="0" w:space="0" w:color="auto"/>
            <w:bottom w:val="none" w:sz="0" w:space="0" w:color="auto"/>
            <w:right w:val="none" w:sz="0" w:space="0" w:color="auto"/>
          </w:divBdr>
          <w:divsChild>
            <w:div w:id="1901016944">
              <w:marLeft w:val="0"/>
              <w:marRight w:val="0"/>
              <w:marTop w:val="0"/>
              <w:marBottom w:val="0"/>
              <w:divBdr>
                <w:top w:val="none" w:sz="0" w:space="0" w:color="auto"/>
                <w:left w:val="none" w:sz="0" w:space="0" w:color="auto"/>
                <w:bottom w:val="none" w:sz="0" w:space="0" w:color="auto"/>
                <w:right w:val="none" w:sz="0" w:space="0" w:color="auto"/>
              </w:divBdr>
              <w:divsChild>
                <w:div w:id="147726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712538">
      <w:bodyDiv w:val="1"/>
      <w:marLeft w:val="0"/>
      <w:marRight w:val="0"/>
      <w:marTop w:val="0"/>
      <w:marBottom w:val="0"/>
      <w:divBdr>
        <w:top w:val="none" w:sz="0" w:space="0" w:color="auto"/>
        <w:left w:val="none" w:sz="0" w:space="0" w:color="auto"/>
        <w:bottom w:val="none" w:sz="0" w:space="0" w:color="auto"/>
        <w:right w:val="none" w:sz="0" w:space="0" w:color="auto"/>
      </w:divBdr>
      <w:divsChild>
        <w:div w:id="1013385546">
          <w:marLeft w:val="150"/>
          <w:marRight w:val="0"/>
          <w:marTop w:val="0"/>
          <w:marBottom w:val="300"/>
          <w:divBdr>
            <w:top w:val="none" w:sz="0" w:space="0" w:color="auto"/>
            <w:left w:val="none" w:sz="0" w:space="0" w:color="auto"/>
            <w:bottom w:val="none" w:sz="0" w:space="0" w:color="auto"/>
            <w:right w:val="none" w:sz="0" w:space="0" w:color="auto"/>
          </w:divBdr>
        </w:div>
        <w:div w:id="1952199875">
          <w:marLeft w:val="150"/>
          <w:marRight w:val="0"/>
          <w:marTop w:val="0"/>
          <w:marBottom w:val="300"/>
          <w:divBdr>
            <w:top w:val="none" w:sz="0" w:space="0" w:color="auto"/>
            <w:left w:val="none" w:sz="0" w:space="0" w:color="auto"/>
            <w:bottom w:val="none" w:sz="0" w:space="0" w:color="auto"/>
            <w:right w:val="none" w:sz="0" w:space="0" w:color="auto"/>
          </w:divBdr>
        </w:div>
      </w:divsChild>
    </w:div>
    <w:div w:id="858473959">
      <w:bodyDiv w:val="1"/>
      <w:marLeft w:val="0"/>
      <w:marRight w:val="0"/>
      <w:marTop w:val="0"/>
      <w:marBottom w:val="0"/>
      <w:divBdr>
        <w:top w:val="none" w:sz="0" w:space="0" w:color="auto"/>
        <w:left w:val="none" w:sz="0" w:space="0" w:color="auto"/>
        <w:bottom w:val="none" w:sz="0" w:space="0" w:color="auto"/>
        <w:right w:val="none" w:sz="0" w:space="0" w:color="auto"/>
      </w:divBdr>
      <w:divsChild>
        <w:div w:id="387648671">
          <w:marLeft w:val="0"/>
          <w:marRight w:val="0"/>
          <w:marTop w:val="0"/>
          <w:marBottom w:val="0"/>
          <w:divBdr>
            <w:top w:val="none" w:sz="0" w:space="0" w:color="auto"/>
            <w:left w:val="none" w:sz="0" w:space="0" w:color="auto"/>
            <w:bottom w:val="none" w:sz="0" w:space="0" w:color="auto"/>
            <w:right w:val="none" w:sz="0" w:space="0" w:color="auto"/>
          </w:divBdr>
        </w:div>
      </w:divsChild>
    </w:div>
    <w:div w:id="983660139">
      <w:bodyDiv w:val="1"/>
      <w:marLeft w:val="0"/>
      <w:marRight w:val="0"/>
      <w:marTop w:val="0"/>
      <w:marBottom w:val="0"/>
      <w:divBdr>
        <w:top w:val="none" w:sz="0" w:space="0" w:color="auto"/>
        <w:left w:val="none" w:sz="0" w:space="0" w:color="auto"/>
        <w:bottom w:val="none" w:sz="0" w:space="0" w:color="auto"/>
        <w:right w:val="none" w:sz="0" w:space="0" w:color="auto"/>
      </w:divBdr>
    </w:div>
    <w:div w:id="1124471034">
      <w:bodyDiv w:val="1"/>
      <w:marLeft w:val="0"/>
      <w:marRight w:val="0"/>
      <w:marTop w:val="0"/>
      <w:marBottom w:val="0"/>
      <w:divBdr>
        <w:top w:val="none" w:sz="0" w:space="0" w:color="auto"/>
        <w:left w:val="none" w:sz="0" w:space="0" w:color="auto"/>
        <w:bottom w:val="none" w:sz="0" w:space="0" w:color="auto"/>
        <w:right w:val="none" w:sz="0" w:space="0" w:color="auto"/>
      </w:divBdr>
      <w:divsChild>
        <w:div w:id="616378963">
          <w:marLeft w:val="0"/>
          <w:marRight w:val="0"/>
          <w:marTop w:val="0"/>
          <w:marBottom w:val="0"/>
          <w:divBdr>
            <w:top w:val="none" w:sz="0" w:space="0" w:color="auto"/>
            <w:left w:val="none" w:sz="0" w:space="0" w:color="auto"/>
            <w:bottom w:val="none" w:sz="0" w:space="0" w:color="auto"/>
            <w:right w:val="none" w:sz="0" w:space="0" w:color="auto"/>
          </w:divBdr>
          <w:divsChild>
            <w:div w:id="1740401906">
              <w:marLeft w:val="0"/>
              <w:marRight w:val="0"/>
              <w:marTop w:val="0"/>
              <w:marBottom w:val="0"/>
              <w:divBdr>
                <w:top w:val="none" w:sz="0" w:space="0" w:color="auto"/>
                <w:left w:val="none" w:sz="0" w:space="0" w:color="auto"/>
                <w:bottom w:val="none" w:sz="0" w:space="0" w:color="auto"/>
                <w:right w:val="none" w:sz="0" w:space="0" w:color="auto"/>
              </w:divBdr>
              <w:divsChild>
                <w:div w:id="123319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008284">
      <w:bodyDiv w:val="1"/>
      <w:marLeft w:val="0"/>
      <w:marRight w:val="0"/>
      <w:marTop w:val="0"/>
      <w:marBottom w:val="0"/>
      <w:divBdr>
        <w:top w:val="none" w:sz="0" w:space="0" w:color="auto"/>
        <w:left w:val="none" w:sz="0" w:space="0" w:color="auto"/>
        <w:bottom w:val="none" w:sz="0" w:space="0" w:color="auto"/>
        <w:right w:val="none" w:sz="0" w:space="0" w:color="auto"/>
      </w:divBdr>
      <w:divsChild>
        <w:div w:id="422185893">
          <w:marLeft w:val="0"/>
          <w:marRight w:val="0"/>
          <w:marTop w:val="0"/>
          <w:marBottom w:val="0"/>
          <w:divBdr>
            <w:top w:val="none" w:sz="0" w:space="0" w:color="auto"/>
            <w:left w:val="none" w:sz="0" w:space="0" w:color="auto"/>
            <w:bottom w:val="none" w:sz="0" w:space="0" w:color="auto"/>
            <w:right w:val="none" w:sz="0" w:space="0" w:color="auto"/>
          </w:divBdr>
          <w:divsChild>
            <w:div w:id="643898300">
              <w:marLeft w:val="0"/>
              <w:marRight w:val="0"/>
              <w:marTop w:val="0"/>
              <w:marBottom w:val="0"/>
              <w:divBdr>
                <w:top w:val="none" w:sz="0" w:space="0" w:color="auto"/>
                <w:left w:val="none" w:sz="0" w:space="0" w:color="auto"/>
                <w:bottom w:val="none" w:sz="0" w:space="0" w:color="auto"/>
                <w:right w:val="none" w:sz="0" w:space="0" w:color="auto"/>
              </w:divBdr>
              <w:divsChild>
                <w:div w:id="130496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428295">
      <w:bodyDiv w:val="1"/>
      <w:marLeft w:val="0"/>
      <w:marRight w:val="0"/>
      <w:marTop w:val="0"/>
      <w:marBottom w:val="0"/>
      <w:divBdr>
        <w:top w:val="none" w:sz="0" w:space="0" w:color="auto"/>
        <w:left w:val="none" w:sz="0" w:space="0" w:color="auto"/>
        <w:bottom w:val="none" w:sz="0" w:space="0" w:color="auto"/>
        <w:right w:val="none" w:sz="0" w:space="0" w:color="auto"/>
      </w:divBdr>
      <w:divsChild>
        <w:div w:id="1699617769">
          <w:marLeft w:val="0"/>
          <w:marRight w:val="0"/>
          <w:marTop w:val="0"/>
          <w:marBottom w:val="0"/>
          <w:divBdr>
            <w:top w:val="none" w:sz="0" w:space="0" w:color="auto"/>
            <w:left w:val="none" w:sz="0" w:space="0" w:color="auto"/>
            <w:bottom w:val="none" w:sz="0" w:space="0" w:color="auto"/>
            <w:right w:val="none" w:sz="0" w:space="0" w:color="auto"/>
          </w:divBdr>
          <w:divsChild>
            <w:div w:id="1235823121">
              <w:marLeft w:val="0"/>
              <w:marRight w:val="0"/>
              <w:marTop w:val="0"/>
              <w:marBottom w:val="0"/>
              <w:divBdr>
                <w:top w:val="none" w:sz="0" w:space="0" w:color="auto"/>
                <w:left w:val="none" w:sz="0" w:space="0" w:color="auto"/>
                <w:bottom w:val="none" w:sz="0" w:space="0" w:color="auto"/>
                <w:right w:val="none" w:sz="0" w:space="0" w:color="auto"/>
              </w:divBdr>
              <w:divsChild>
                <w:div w:id="57698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044840">
      <w:bodyDiv w:val="1"/>
      <w:marLeft w:val="0"/>
      <w:marRight w:val="0"/>
      <w:marTop w:val="0"/>
      <w:marBottom w:val="0"/>
      <w:divBdr>
        <w:top w:val="none" w:sz="0" w:space="0" w:color="auto"/>
        <w:left w:val="none" w:sz="0" w:space="0" w:color="auto"/>
        <w:bottom w:val="none" w:sz="0" w:space="0" w:color="auto"/>
        <w:right w:val="none" w:sz="0" w:space="0" w:color="auto"/>
      </w:divBdr>
      <w:divsChild>
        <w:div w:id="971714222">
          <w:marLeft w:val="0"/>
          <w:marRight w:val="0"/>
          <w:marTop w:val="0"/>
          <w:marBottom w:val="0"/>
          <w:divBdr>
            <w:top w:val="none" w:sz="0" w:space="0" w:color="auto"/>
            <w:left w:val="none" w:sz="0" w:space="0" w:color="auto"/>
            <w:bottom w:val="none" w:sz="0" w:space="0" w:color="auto"/>
            <w:right w:val="none" w:sz="0" w:space="0" w:color="auto"/>
          </w:divBdr>
        </w:div>
      </w:divsChild>
    </w:div>
    <w:div w:id="1426806220">
      <w:bodyDiv w:val="1"/>
      <w:marLeft w:val="0"/>
      <w:marRight w:val="0"/>
      <w:marTop w:val="0"/>
      <w:marBottom w:val="0"/>
      <w:divBdr>
        <w:top w:val="none" w:sz="0" w:space="0" w:color="auto"/>
        <w:left w:val="none" w:sz="0" w:space="0" w:color="auto"/>
        <w:bottom w:val="none" w:sz="0" w:space="0" w:color="auto"/>
        <w:right w:val="none" w:sz="0" w:space="0" w:color="auto"/>
      </w:divBdr>
      <w:divsChild>
        <w:div w:id="1827895610">
          <w:marLeft w:val="0"/>
          <w:marRight w:val="0"/>
          <w:marTop w:val="0"/>
          <w:marBottom w:val="0"/>
          <w:divBdr>
            <w:top w:val="none" w:sz="0" w:space="0" w:color="auto"/>
            <w:left w:val="none" w:sz="0" w:space="0" w:color="auto"/>
            <w:bottom w:val="none" w:sz="0" w:space="0" w:color="auto"/>
            <w:right w:val="none" w:sz="0" w:space="0" w:color="auto"/>
          </w:divBdr>
        </w:div>
      </w:divsChild>
    </w:div>
    <w:div w:id="1487286766">
      <w:bodyDiv w:val="1"/>
      <w:marLeft w:val="0"/>
      <w:marRight w:val="0"/>
      <w:marTop w:val="0"/>
      <w:marBottom w:val="0"/>
      <w:divBdr>
        <w:top w:val="none" w:sz="0" w:space="0" w:color="auto"/>
        <w:left w:val="none" w:sz="0" w:space="0" w:color="auto"/>
        <w:bottom w:val="none" w:sz="0" w:space="0" w:color="auto"/>
        <w:right w:val="none" w:sz="0" w:space="0" w:color="auto"/>
      </w:divBdr>
      <w:divsChild>
        <w:div w:id="1357660924">
          <w:marLeft w:val="0"/>
          <w:marRight w:val="0"/>
          <w:marTop w:val="0"/>
          <w:marBottom w:val="0"/>
          <w:divBdr>
            <w:top w:val="none" w:sz="0" w:space="0" w:color="auto"/>
            <w:left w:val="none" w:sz="0" w:space="0" w:color="auto"/>
            <w:bottom w:val="none" w:sz="0" w:space="0" w:color="auto"/>
            <w:right w:val="none" w:sz="0" w:space="0" w:color="auto"/>
          </w:divBdr>
        </w:div>
      </w:divsChild>
    </w:div>
    <w:div w:id="1585996784">
      <w:bodyDiv w:val="1"/>
      <w:marLeft w:val="0"/>
      <w:marRight w:val="0"/>
      <w:marTop w:val="0"/>
      <w:marBottom w:val="0"/>
      <w:divBdr>
        <w:top w:val="none" w:sz="0" w:space="0" w:color="auto"/>
        <w:left w:val="none" w:sz="0" w:space="0" w:color="auto"/>
        <w:bottom w:val="none" w:sz="0" w:space="0" w:color="auto"/>
        <w:right w:val="none" w:sz="0" w:space="0" w:color="auto"/>
      </w:divBdr>
    </w:div>
    <w:div w:id="1728609194">
      <w:bodyDiv w:val="1"/>
      <w:marLeft w:val="0"/>
      <w:marRight w:val="0"/>
      <w:marTop w:val="0"/>
      <w:marBottom w:val="0"/>
      <w:divBdr>
        <w:top w:val="none" w:sz="0" w:space="0" w:color="auto"/>
        <w:left w:val="none" w:sz="0" w:space="0" w:color="auto"/>
        <w:bottom w:val="none" w:sz="0" w:space="0" w:color="auto"/>
        <w:right w:val="none" w:sz="0" w:space="0" w:color="auto"/>
      </w:divBdr>
      <w:divsChild>
        <w:div w:id="1748570766">
          <w:marLeft w:val="0"/>
          <w:marRight w:val="0"/>
          <w:marTop w:val="0"/>
          <w:marBottom w:val="0"/>
          <w:divBdr>
            <w:top w:val="none" w:sz="0" w:space="0" w:color="auto"/>
            <w:left w:val="none" w:sz="0" w:space="0" w:color="auto"/>
            <w:bottom w:val="none" w:sz="0" w:space="0" w:color="auto"/>
            <w:right w:val="none" w:sz="0" w:space="0" w:color="auto"/>
          </w:divBdr>
        </w:div>
      </w:divsChild>
    </w:div>
    <w:div w:id="1986741493">
      <w:bodyDiv w:val="1"/>
      <w:marLeft w:val="0"/>
      <w:marRight w:val="0"/>
      <w:marTop w:val="0"/>
      <w:marBottom w:val="0"/>
      <w:divBdr>
        <w:top w:val="none" w:sz="0" w:space="0" w:color="auto"/>
        <w:left w:val="none" w:sz="0" w:space="0" w:color="auto"/>
        <w:bottom w:val="none" w:sz="0" w:space="0" w:color="auto"/>
        <w:right w:val="none" w:sz="0" w:space="0" w:color="auto"/>
      </w:divBdr>
      <w:divsChild>
        <w:div w:id="1966546772">
          <w:marLeft w:val="0"/>
          <w:marRight w:val="0"/>
          <w:marTop w:val="0"/>
          <w:marBottom w:val="0"/>
          <w:divBdr>
            <w:top w:val="none" w:sz="0" w:space="0" w:color="auto"/>
            <w:left w:val="none" w:sz="0" w:space="0" w:color="auto"/>
            <w:bottom w:val="none" w:sz="0" w:space="0" w:color="auto"/>
            <w:right w:val="none" w:sz="0" w:space="0" w:color="auto"/>
          </w:divBdr>
        </w:div>
      </w:divsChild>
    </w:div>
    <w:div w:id="2093819655">
      <w:bodyDiv w:val="1"/>
      <w:marLeft w:val="0"/>
      <w:marRight w:val="0"/>
      <w:marTop w:val="0"/>
      <w:marBottom w:val="0"/>
      <w:divBdr>
        <w:top w:val="none" w:sz="0" w:space="0" w:color="auto"/>
        <w:left w:val="none" w:sz="0" w:space="0" w:color="auto"/>
        <w:bottom w:val="none" w:sz="0" w:space="0" w:color="auto"/>
        <w:right w:val="none" w:sz="0" w:space="0" w:color="auto"/>
      </w:divBdr>
      <w:divsChild>
        <w:div w:id="44886258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myncbi/daria.mochly-rosen.1/bibliography/publi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52A931-4982-184F-929A-A256BD09176C}">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263E3-AFED-3041-8537-A04003799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3088</Words>
  <Characters>17603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SciENCV PDF</vt:lpstr>
    </vt:vector>
  </TitlesOfParts>
  <Company/>
  <LinksUpToDate>false</LinksUpToDate>
  <CharactersWithSpaces>20650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SciENCV PDF</dc:title>
  <dc:creator>Daria Mochly-Rosen</dc:creator>
  <cp:lastModifiedBy>Kathy Johnson</cp:lastModifiedBy>
  <cp:revision>2</cp:revision>
  <cp:lastPrinted>2021-05-28T22:50:00Z</cp:lastPrinted>
  <dcterms:created xsi:type="dcterms:W3CDTF">2025-11-20T19:17:00Z</dcterms:created>
  <dcterms:modified xsi:type="dcterms:W3CDTF">2025-11-20T19:17:00Z</dcterms:modified>
</cp:coreProperties>
</file>