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2C288" w14:textId="0A7DE05D" w:rsidR="00C417BA" w:rsidRDefault="001F5CE9" w:rsidP="00C417BA">
      <w:pPr>
        <w:pStyle w:val="OMBInfo"/>
        <w:spacing w:after="80"/>
      </w:pPr>
      <w:r>
        <w:t xml:space="preserve">OMB No. 0925-0001 and 0925-0002 (Rev. </w:t>
      </w:r>
      <w:r w:rsidRPr="007E6E1E">
        <w:t xml:space="preserve">03/2020 </w:t>
      </w:r>
      <w:r>
        <w:t>Approved Through 02/28/2023)</w:t>
      </w:r>
    </w:p>
    <w:p w14:paraId="70ADB94A" w14:textId="77777777" w:rsidR="00C417BA" w:rsidRDefault="00C417BA" w:rsidP="00C417BA">
      <w:pPr>
        <w:pStyle w:val="Title"/>
        <w:spacing w:before="20" w:after="20"/>
      </w:pPr>
      <w:r w:rsidRPr="00D825A1">
        <w:t>BIOGRAPHICAL</w:t>
      </w:r>
      <w:r>
        <w:t xml:space="preserve"> SKETCH</w:t>
      </w:r>
    </w:p>
    <w:p w14:paraId="53AA3C93" w14:textId="77777777" w:rsidR="00C417BA" w:rsidRPr="00906B01" w:rsidRDefault="00C417BA" w:rsidP="00C417BA">
      <w:pPr>
        <w:pStyle w:val="HeadingNote"/>
        <w:pBdr>
          <w:between w:val="single" w:sz="4" w:space="1" w:color="auto"/>
        </w:pBdr>
        <w:spacing w:before="20" w:after="20"/>
        <w:rPr>
          <w:i w:val="0"/>
        </w:rPr>
      </w:pPr>
      <w:r w:rsidRPr="00906B01">
        <w:rPr>
          <w:i w:val="0"/>
        </w:rPr>
        <w:t>Provide the following information for the Senior/key personnel and other significant contributors.</w:t>
      </w:r>
      <w:r w:rsidRPr="00906B01">
        <w:rPr>
          <w:i w:val="0"/>
        </w:rPr>
        <w:br w:type="textWrapping" w:clear="all"/>
        <w:t xml:space="preserve">Follow this format for each person.  </w:t>
      </w:r>
      <w:r w:rsidRPr="00906B01">
        <w:rPr>
          <w:b/>
          <w:i w:val="0"/>
        </w:rPr>
        <w:t>DO NOT EXCEED FIVE PAGES.</w:t>
      </w:r>
    </w:p>
    <w:p w14:paraId="5562EC30" w14:textId="3EECF66C" w:rsidR="00C417BA" w:rsidRPr="00D51DC4" w:rsidRDefault="00C417BA" w:rsidP="00C417BA">
      <w:pPr>
        <w:pStyle w:val="FormFieldCaption1"/>
        <w:pBdr>
          <w:between w:val="single" w:sz="4" w:space="1" w:color="auto"/>
        </w:pBdr>
        <w:rPr>
          <w:sz w:val="32"/>
          <w:szCs w:val="20"/>
        </w:rPr>
      </w:pPr>
      <w:r w:rsidRPr="00D51DC4">
        <w:rPr>
          <w:sz w:val="22"/>
        </w:rPr>
        <w:t>NAME:</w:t>
      </w:r>
      <w:r>
        <w:rPr>
          <w:sz w:val="22"/>
        </w:rPr>
        <w:t xml:space="preserve">   </w:t>
      </w:r>
      <w:r w:rsidRPr="00C417BA">
        <w:rPr>
          <w:b/>
          <w:sz w:val="22"/>
        </w:rPr>
        <w:t>GIACCIA, Amato J.</w:t>
      </w:r>
    </w:p>
    <w:p w14:paraId="4F0BC81A" w14:textId="242873BE" w:rsidR="00C417BA" w:rsidRPr="00C417BA" w:rsidRDefault="00C417BA" w:rsidP="00C417BA">
      <w:pPr>
        <w:pStyle w:val="FormFieldCaption1"/>
        <w:pBdr>
          <w:between w:val="single" w:sz="4" w:space="1" w:color="auto"/>
        </w:pBdr>
        <w:rPr>
          <w:b/>
          <w:sz w:val="32"/>
        </w:rPr>
      </w:pPr>
      <w:proofErr w:type="spellStart"/>
      <w:r w:rsidRPr="00D51DC4">
        <w:rPr>
          <w:sz w:val="22"/>
        </w:rPr>
        <w:t>eRA</w:t>
      </w:r>
      <w:proofErr w:type="spellEnd"/>
      <w:r w:rsidRPr="00D51DC4">
        <w:rPr>
          <w:sz w:val="22"/>
        </w:rPr>
        <w:t xml:space="preserve"> COMMONS USER NAME (credential, e.g., agency login):</w:t>
      </w:r>
      <w:r>
        <w:rPr>
          <w:sz w:val="22"/>
        </w:rPr>
        <w:t xml:space="preserve">   </w:t>
      </w:r>
      <w:r w:rsidRPr="00C417BA">
        <w:rPr>
          <w:b/>
          <w:sz w:val="22"/>
        </w:rPr>
        <w:t>GIACCIA</w:t>
      </w:r>
    </w:p>
    <w:p w14:paraId="12085F0C" w14:textId="1A754D34" w:rsidR="00C417BA" w:rsidRPr="00D51DC4" w:rsidRDefault="00C417BA" w:rsidP="00C417BA">
      <w:pPr>
        <w:pStyle w:val="FormFieldCaption1"/>
        <w:pBdr>
          <w:between w:val="single" w:sz="4" w:space="1" w:color="auto"/>
        </w:pBdr>
        <w:rPr>
          <w:sz w:val="32"/>
        </w:rPr>
      </w:pPr>
      <w:r w:rsidRPr="00D51DC4">
        <w:rPr>
          <w:sz w:val="22"/>
        </w:rPr>
        <w:t>POSITION TITLE:</w:t>
      </w:r>
      <w:r>
        <w:rPr>
          <w:sz w:val="22"/>
        </w:rPr>
        <w:t xml:space="preserve">  </w:t>
      </w:r>
      <w:r w:rsidRPr="00C417BA">
        <w:rPr>
          <w:b/>
          <w:sz w:val="22"/>
        </w:rPr>
        <w:t>Professor and Director</w:t>
      </w:r>
      <w:r w:rsidR="00086498">
        <w:rPr>
          <w:b/>
          <w:sz w:val="22"/>
        </w:rPr>
        <w:t xml:space="preserve"> of the Oxford Institute of Radiation Oncology</w:t>
      </w:r>
    </w:p>
    <w:p w14:paraId="6632FB6A" w14:textId="77777777" w:rsidR="00C417BA" w:rsidRPr="00D51DC4" w:rsidRDefault="00C417BA" w:rsidP="00C417BA">
      <w:pPr>
        <w:pStyle w:val="FormFieldCaption1"/>
        <w:pBdr>
          <w:between w:val="single" w:sz="4" w:space="1" w:color="auto"/>
        </w:pBdr>
        <w:rPr>
          <w:sz w:val="22"/>
        </w:rPr>
      </w:pPr>
      <w:r w:rsidRPr="00D51DC4">
        <w:rPr>
          <w:sz w:val="22"/>
        </w:rPr>
        <w:t xml:space="preserve">EDUCATION/TRAINING </w:t>
      </w:r>
      <w:r w:rsidRPr="00D51DC4">
        <w:rPr>
          <w:rStyle w:val="Emphasis"/>
          <w:sz w:val="22"/>
        </w:rPr>
        <w:t>(Begin with baccalaureate or other initial professional education, such as nursing, include postdoctoral training and residency training if applicable. Add/delete rows as necessary.)</w:t>
      </w:r>
    </w:p>
    <w:tbl>
      <w:tblPr>
        <w:tblStyle w:val="TableGrid"/>
        <w:tblW w:w="10800" w:type="dxa"/>
        <w:tblInd w:w="108" w:type="dxa"/>
        <w:tblBorders>
          <w:left w:val="none" w:sz="0" w:space="0" w:color="auto"/>
          <w:bottom w:val="none" w:sz="0" w:space="0" w:color="auto"/>
          <w:right w:val="none" w:sz="0" w:space="0" w:color="auto"/>
          <w:insideH w:val="none" w:sz="0" w:space="0" w:color="auto"/>
        </w:tblBorders>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4680"/>
        <w:gridCol w:w="1431"/>
        <w:gridCol w:w="1449"/>
        <w:gridCol w:w="3240"/>
      </w:tblGrid>
      <w:tr w:rsidR="00E36CAE" w:rsidRPr="00D51DC4" w14:paraId="352E6730" w14:textId="77777777" w:rsidTr="00E36CAE">
        <w:trPr>
          <w:cantSplit/>
          <w:tblHeader/>
        </w:trPr>
        <w:tc>
          <w:tcPr>
            <w:tcW w:w="4680" w:type="dxa"/>
            <w:tcBorders>
              <w:top w:val="single" w:sz="4" w:space="0" w:color="auto"/>
              <w:bottom w:val="single" w:sz="4" w:space="0" w:color="auto"/>
            </w:tcBorders>
            <w:vAlign w:val="center"/>
          </w:tcPr>
          <w:p w14:paraId="4CE40A38" w14:textId="74048352" w:rsidR="00C417BA" w:rsidRPr="00D51DC4" w:rsidRDefault="00C417BA" w:rsidP="00C417BA">
            <w:pPr>
              <w:pStyle w:val="FormFieldCaption"/>
              <w:jc w:val="center"/>
              <w:rPr>
                <w:sz w:val="22"/>
              </w:rPr>
            </w:pPr>
            <w:r>
              <w:t>INSTITUTION AND LOCATION</w:t>
            </w:r>
          </w:p>
        </w:tc>
        <w:tc>
          <w:tcPr>
            <w:tcW w:w="1431" w:type="dxa"/>
            <w:tcBorders>
              <w:top w:val="single" w:sz="4" w:space="0" w:color="auto"/>
              <w:bottom w:val="single" w:sz="4" w:space="0" w:color="auto"/>
            </w:tcBorders>
            <w:vAlign w:val="center"/>
          </w:tcPr>
          <w:p w14:paraId="6C2EE8A2" w14:textId="77777777" w:rsidR="00C417BA" w:rsidRDefault="00C417BA" w:rsidP="00C417BA">
            <w:pPr>
              <w:pStyle w:val="FormFieldCaption"/>
              <w:jc w:val="center"/>
            </w:pPr>
            <w:r>
              <w:t>DEGREE</w:t>
            </w:r>
          </w:p>
          <w:p w14:paraId="5BAA6FE0" w14:textId="5E9F74D4" w:rsidR="00C417BA" w:rsidRPr="00D51DC4" w:rsidRDefault="00C417BA" w:rsidP="00C417BA">
            <w:pPr>
              <w:pStyle w:val="FormFieldCaption"/>
              <w:jc w:val="center"/>
              <w:rPr>
                <w:sz w:val="22"/>
              </w:rPr>
            </w:pPr>
            <w:r>
              <w:rPr>
                <w:i/>
                <w:iCs/>
              </w:rPr>
              <w:t>(if applicable)</w:t>
            </w:r>
          </w:p>
        </w:tc>
        <w:tc>
          <w:tcPr>
            <w:tcW w:w="1449" w:type="dxa"/>
            <w:tcBorders>
              <w:top w:val="single" w:sz="4" w:space="0" w:color="auto"/>
              <w:bottom w:val="single" w:sz="4" w:space="0" w:color="auto"/>
            </w:tcBorders>
            <w:vAlign w:val="center"/>
          </w:tcPr>
          <w:p w14:paraId="23EF9393" w14:textId="456B04D3" w:rsidR="00C417BA" w:rsidRPr="00D51DC4" w:rsidRDefault="00906B01" w:rsidP="00C417BA">
            <w:pPr>
              <w:pStyle w:val="FormFieldCaption"/>
              <w:jc w:val="center"/>
              <w:rPr>
                <w:sz w:val="22"/>
              </w:rPr>
            </w:pPr>
            <w:r>
              <w:t>Completion Date</w:t>
            </w:r>
            <w:r>
              <w:br/>
            </w:r>
            <w:r w:rsidR="00C417BA">
              <w:t>MM/YY</w:t>
            </w:r>
          </w:p>
        </w:tc>
        <w:tc>
          <w:tcPr>
            <w:tcW w:w="3240" w:type="dxa"/>
            <w:tcBorders>
              <w:top w:val="single" w:sz="4" w:space="0" w:color="auto"/>
              <w:bottom w:val="single" w:sz="4" w:space="0" w:color="auto"/>
            </w:tcBorders>
            <w:vAlign w:val="center"/>
          </w:tcPr>
          <w:p w14:paraId="6667BF9A" w14:textId="2AE94F02" w:rsidR="00C417BA" w:rsidRPr="00D51DC4" w:rsidRDefault="00C417BA" w:rsidP="00C417BA">
            <w:pPr>
              <w:pStyle w:val="FormFieldCaption"/>
              <w:jc w:val="center"/>
              <w:rPr>
                <w:sz w:val="22"/>
              </w:rPr>
            </w:pPr>
            <w:r>
              <w:t>FIELD OF STUDY</w:t>
            </w:r>
          </w:p>
        </w:tc>
      </w:tr>
      <w:tr w:rsidR="00E36CAE" w:rsidRPr="00D51DC4" w14:paraId="1D9E8044" w14:textId="77777777" w:rsidTr="00E36CAE">
        <w:trPr>
          <w:cantSplit/>
        </w:trPr>
        <w:tc>
          <w:tcPr>
            <w:tcW w:w="4680" w:type="dxa"/>
            <w:tcBorders>
              <w:top w:val="single" w:sz="4" w:space="0" w:color="auto"/>
              <w:bottom w:val="nil"/>
            </w:tcBorders>
          </w:tcPr>
          <w:p w14:paraId="50397A06" w14:textId="5388B9CC" w:rsidR="00C417BA" w:rsidRPr="00C417BA" w:rsidRDefault="00C417BA" w:rsidP="00C417BA">
            <w:pPr>
              <w:pStyle w:val="FormFieldCaption"/>
              <w:spacing w:before="20" w:after="20"/>
              <w:rPr>
                <w:sz w:val="22"/>
                <w:szCs w:val="22"/>
              </w:rPr>
            </w:pPr>
            <w:r w:rsidRPr="00C417BA">
              <w:rPr>
                <w:sz w:val="22"/>
                <w:szCs w:val="22"/>
              </w:rPr>
              <w:t>Lafayette College, Easton, PA</w:t>
            </w:r>
          </w:p>
        </w:tc>
        <w:tc>
          <w:tcPr>
            <w:tcW w:w="1431" w:type="dxa"/>
            <w:tcBorders>
              <w:top w:val="single" w:sz="4" w:space="0" w:color="auto"/>
              <w:bottom w:val="nil"/>
            </w:tcBorders>
          </w:tcPr>
          <w:p w14:paraId="480B0D00" w14:textId="3F4C982F" w:rsidR="00C417BA" w:rsidRPr="00C417BA" w:rsidRDefault="00C417BA" w:rsidP="00C417BA">
            <w:pPr>
              <w:pStyle w:val="FormFieldCaption"/>
              <w:spacing w:before="20" w:after="20"/>
              <w:jc w:val="center"/>
              <w:rPr>
                <w:sz w:val="22"/>
                <w:szCs w:val="22"/>
              </w:rPr>
            </w:pPr>
            <w:r w:rsidRPr="00C417BA">
              <w:rPr>
                <w:sz w:val="22"/>
                <w:szCs w:val="22"/>
              </w:rPr>
              <w:t>B.A.</w:t>
            </w:r>
          </w:p>
        </w:tc>
        <w:tc>
          <w:tcPr>
            <w:tcW w:w="1449" w:type="dxa"/>
            <w:tcBorders>
              <w:top w:val="single" w:sz="4" w:space="0" w:color="auto"/>
              <w:bottom w:val="nil"/>
            </w:tcBorders>
          </w:tcPr>
          <w:p w14:paraId="6AFE8427" w14:textId="78770B14" w:rsidR="00C417BA" w:rsidRPr="00C417BA" w:rsidRDefault="00C417BA" w:rsidP="00C417BA">
            <w:pPr>
              <w:pStyle w:val="FormFieldCaption"/>
              <w:spacing w:before="20" w:after="20"/>
              <w:jc w:val="center"/>
              <w:rPr>
                <w:sz w:val="22"/>
                <w:szCs w:val="22"/>
              </w:rPr>
            </w:pPr>
            <w:r w:rsidRPr="00C417BA">
              <w:rPr>
                <w:sz w:val="22"/>
                <w:szCs w:val="22"/>
              </w:rPr>
              <w:t>1980</w:t>
            </w:r>
          </w:p>
        </w:tc>
        <w:tc>
          <w:tcPr>
            <w:tcW w:w="3240" w:type="dxa"/>
            <w:tcBorders>
              <w:top w:val="single" w:sz="4" w:space="0" w:color="auto"/>
              <w:bottom w:val="nil"/>
            </w:tcBorders>
          </w:tcPr>
          <w:p w14:paraId="4120AD20" w14:textId="09F0ED76" w:rsidR="00C417BA" w:rsidRPr="00C417BA" w:rsidRDefault="00C417BA" w:rsidP="00C417BA">
            <w:pPr>
              <w:pStyle w:val="FormFieldCaption"/>
              <w:spacing w:before="20" w:after="20"/>
              <w:rPr>
                <w:sz w:val="22"/>
                <w:szCs w:val="22"/>
              </w:rPr>
            </w:pPr>
            <w:r w:rsidRPr="00C417BA">
              <w:rPr>
                <w:sz w:val="22"/>
                <w:szCs w:val="22"/>
              </w:rPr>
              <w:t>Biology</w:t>
            </w:r>
          </w:p>
        </w:tc>
      </w:tr>
      <w:tr w:rsidR="00E36CAE" w:rsidRPr="00D51DC4" w14:paraId="236EB2EE" w14:textId="77777777" w:rsidTr="00E36CAE">
        <w:trPr>
          <w:cantSplit/>
        </w:trPr>
        <w:tc>
          <w:tcPr>
            <w:tcW w:w="4680" w:type="dxa"/>
            <w:tcBorders>
              <w:top w:val="nil"/>
              <w:bottom w:val="single" w:sz="4" w:space="0" w:color="auto"/>
            </w:tcBorders>
          </w:tcPr>
          <w:p w14:paraId="64AB69CC" w14:textId="7AD2909F" w:rsidR="00C417BA" w:rsidRPr="00C417BA" w:rsidRDefault="00C417BA" w:rsidP="00C417BA">
            <w:pPr>
              <w:pStyle w:val="FormFieldCaption"/>
              <w:spacing w:before="20" w:after="20"/>
              <w:rPr>
                <w:sz w:val="22"/>
                <w:szCs w:val="22"/>
              </w:rPr>
            </w:pPr>
            <w:r w:rsidRPr="00C417BA">
              <w:rPr>
                <w:sz w:val="22"/>
                <w:szCs w:val="22"/>
              </w:rPr>
              <w:t>University of Pennsylvania, Philadelphia, PA</w:t>
            </w:r>
          </w:p>
        </w:tc>
        <w:tc>
          <w:tcPr>
            <w:tcW w:w="1431" w:type="dxa"/>
            <w:tcBorders>
              <w:top w:val="nil"/>
              <w:bottom w:val="single" w:sz="4" w:space="0" w:color="auto"/>
            </w:tcBorders>
          </w:tcPr>
          <w:p w14:paraId="1F06A0B0" w14:textId="7B030BE9" w:rsidR="00C417BA" w:rsidRPr="00C417BA" w:rsidRDefault="00C417BA" w:rsidP="00C417BA">
            <w:pPr>
              <w:pStyle w:val="FormFieldCaption"/>
              <w:spacing w:before="20" w:after="20"/>
              <w:jc w:val="center"/>
              <w:rPr>
                <w:sz w:val="22"/>
                <w:szCs w:val="22"/>
              </w:rPr>
            </w:pPr>
            <w:r w:rsidRPr="00C417BA">
              <w:rPr>
                <w:sz w:val="22"/>
                <w:szCs w:val="22"/>
              </w:rPr>
              <w:t>Ph.D.</w:t>
            </w:r>
          </w:p>
        </w:tc>
        <w:tc>
          <w:tcPr>
            <w:tcW w:w="1449" w:type="dxa"/>
            <w:tcBorders>
              <w:top w:val="nil"/>
              <w:bottom w:val="single" w:sz="4" w:space="0" w:color="auto"/>
            </w:tcBorders>
          </w:tcPr>
          <w:p w14:paraId="5C4F30CA" w14:textId="3EECD611" w:rsidR="00C417BA" w:rsidRPr="00C417BA" w:rsidRDefault="00C417BA" w:rsidP="00C417BA">
            <w:pPr>
              <w:pStyle w:val="FormFieldCaption"/>
              <w:spacing w:before="20" w:after="20"/>
              <w:jc w:val="center"/>
              <w:rPr>
                <w:sz w:val="22"/>
                <w:szCs w:val="22"/>
              </w:rPr>
            </w:pPr>
            <w:r w:rsidRPr="00C417BA">
              <w:rPr>
                <w:sz w:val="22"/>
                <w:szCs w:val="22"/>
              </w:rPr>
              <w:t>1989</w:t>
            </w:r>
          </w:p>
        </w:tc>
        <w:tc>
          <w:tcPr>
            <w:tcW w:w="3240" w:type="dxa"/>
            <w:tcBorders>
              <w:top w:val="nil"/>
              <w:bottom w:val="single" w:sz="4" w:space="0" w:color="auto"/>
            </w:tcBorders>
          </w:tcPr>
          <w:p w14:paraId="650F9FB4" w14:textId="1EDD1DB9" w:rsidR="00C417BA" w:rsidRPr="00C417BA" w:rsidRDefault="00C417BA" w:rsidP="00C417BA">
            <w:pPr>
              <w:pStyle w:val="FormFieldCaption"/>
              <w:spacing w:before="20" w:after="20"/>
              <w:rPr>
                <w:sz w:val="22"/>
                <w:szCs w:val="22"/>
              </w:rPr>
            </w:pPr>
            <w:r w:rsidRPr="00C417BA">
              <w:rPr>
                <w:sz w:val="22"/>
                <w:szCs w:val="22"/>
              </w:rPr>
              <w:t>Pathology/Molecular Biology</w:t>
            </w:r>
          </w:p>
        </w:tc>
      </w:tr>
    </w:tbl>
    <w:p w14:paraId="54656773" w14:textId="77777777" w:rsidR="00E6057D" w:rsidRPr="00B82A14" w:rsidRDefault="00E6057D" w:rsidP="00512A54">
      <w:pPr>
        <w:spacing w:before="120"/>
        <w:outlineLvl w:val="0"/>
        <w:rPr>
          <w:rFonts w:cs="Arial"/>
          <w:b/>
          <w:szCs w:val="22"/>
        </w:rPr>
      </w:pPr>
      <w:r w:rsidRPr="00B82A14">
        <w:rPr>
          <w:rFonts w:cs="Arial"/>
          <w:b/>
          <w:szCs w:val="22"/>
        </w:rPr>
        <w:t>A.</w:t>
      </w:r>
      <w:r w:rsidRPr="00B82A14">
        <w:rPr>
          <w:rFonts w:cs="Arial"/>
          <w:b/>
          <w:szCs w:val="22"/>
        </w:rPr>
        <w:tab/>
        <w:t>Personal Statement</w:t>
      </w:r>
      <w:r w:rsidR="004D3D30" w:rsidRPr="00B82A14">
        <w:rPr>
          <w:rFonts w:cs="Arial"/>
          <w:b/>
          <w:szCs w:val="22"/>
        </w:rPr>
        <w:t xml:space="preserve"> </w:t>
      </w:r>
    </w:p>
    <w:p w14:paraId="4CBB0184" w14:textId="5B272D10" w:rsidR="002D5E15" w:rsidRDefault="002D5E15" w:rsidP="00512A54">
      <w:pPr>
        <w:spacing w:before="80" w:after="80"/>
        <w:jc w:val="both"/>
        <w:rPr>
          <w:rFonts w:cs="Helvetica"/>
          <w:szCs w:val="28"/>
        </w:rPr>
      </w:pPr>
      <w:r w:rsidRPr="00C9555D">
        <w:rPr>
          <w:rFonts w:cs="Helvetica"/>
          <w:szCs w:val="28"/>
        </w:rPr>
        <w:t xml:space="preserve">Qualifications to perform the research: The overall goal of radiotherapy is to eradicate the tumor and spare normal tissue damage. </w:t>
      </w:r>
      <w:r w:rsidR="00BB50E2">
        <w:rPr>
          <w:rFonts w:cs="Helvetica"/>
          <w:szCs w:val="28"/>
        </w:rPr>
        <w:t>The effects of radiation on normal tissue toxicity are dependent on tissue histology, the volume of tissue irradiated and the dose and dose-rate. The majority of patients receiving pelvic or abdominal radiation experience acute radiation-induced toxicity, and which may contribute to late events. One of the main interests in my lab is understanding radiation induced toxicity of normal tissues and to develop therapeutic approaches to reduce or eliminate this toxicity. We have mainly focused on radiation</w:t>
      </w:r>
      <w:r w:rsidR="00B83FAE">
        <w:rPr>
          <w:rFonts w:cs="Helvetica"/>
          <w:szCs w:val="28"/>
        </w:rPr>
        <w:t>-</w:t>
      </w:r>
      <w:r w:rsidR="00BB50E2">
        <w:rPr>
          <w:rFonts w:cs="Helvetica"/>
          <w:szCs w:val="28"/>
        </w:rPr>
        <w:t>induced gastrointestinal toxicity as it is well defined and is often lethal within 10 days of high dose radiation exposure. We have previously identified the PHD-HIF</w:t>
      </w:r>
      <w:r w:rsidR="0091554B">
        <w:rPr>
          <w:rFonts w:cs="Helvetica"/>
          <w:szCs w:val="28"/>
        </w:rPr>
        <w:t>2</w:t>
      </w:r>
      <w:r w:rsidR="00BB50E2">
        <w:rPr>
          <w:rFonts w:cs="Helvetica"/>
          <w:szCs w:val="28"/>
        </w:rPr>
        <w:t xml:space="preserve"> pathway as a mediator of protection against radiation-induced toxicity</w:t>
      </w:r>
      <w:r w:rsidR="0091554B">
        <w:rPr>
          <w:rFonts w:cs="Helvetica"/>
          <w:szCs w:val="28"/>
        </w:rPr>
        <w:t xml:space="preserve">, and could show in preclinical models that activation of this pathway protected animals against lethal doses of radiation (Taniguchi </w:t>
      </w:r>
      <w:r w:rsidR="0091554B" w:rsidRPr="00B83FAE">
        <w:rPr>
          <w:rFonts w:cs="Helvetica"/>
          <w:i/>
          <w:szCs w:val="28"/>
        </w:rPr>
        <w:t>et al.</w:t>
      </w:r>
      <w:r w:rsidR="00B83FAE">
        <w:rPr>
          <w:rFonts w:cs="Helvetica"/>
          <w:i/>
          <w:szCs w:val="28"/>
        </w:rPr>
        <w:t>,</w:t>
      </w:r>
      <w:r w:rsidR="0091554B">
        <w:rPr>
          <w:rFonts w:cs="Helvetica"/>
          <w:szCs w:val="28"/>
        </w:rPr>
        <w:t xml:space="preserve"> Science Translational Medicine, 2014). More recently, we have identified C5aR1, a member of the complement pathway, as a critical mediator of radiosensitivity of both normal tissue and tumors. Our studies have found that inhibition of C5aR1 protects against lethal gastrointestinal toxicity induced by radiation and at the same time sensitizes tumors to radiation. </w:t>
      </w:r>
    </w:p>
    <w:p w14:paraId="6E9C6A04" w14:textId="74CDEEAD" w:rsidR="008037C9" w:rsidRPr="00FB70A3" w:rsidRDefault="008037C9" w:rsidP="008037C9">
      <w:pPr>
        <w:spacing w:before="80" w:after="80"/>
        <w:rPr>
          <w:rFonts w:cs="Helvetica"/>
          <w:color w:val="000000" w:themeColor="text1"/>
          <w:szCs w:val="28"/>
        </w:rPr>
      </w:pPr>
      <w:r w:rsidRPr="00FB70A3">
        <w:rPr>
          <w:rFonts w:cs="Helvetica"/>
          <w:color w:val="000000" w:themeColor="text1"/>
          <w:szCs w:val="28"/>
        </w:rPr>
        <w:t xml:space="preserve">Ongoing and completed projects I would like to highlight include: </w:t>
      </w:r>
    </w:p>
    <w:p w14:paraId="64499BBB" w14:textId="4777888E" w:rsidR="008037C9" w:rsidRPr="00FB70A3" w:rsidRDefault="008037C9" w:rsidP="008037C9">
      <w:pPr>
        <w:tabs>
          <w:tab w:val="right" w:pos="9960"/>
        </w:tabs>
        <w:spacing w:before="20"/>
        <w:rPr>
          <w:rFonts w:cs="Arial"/>
          <w:b/>
          <w:szCs w:val="22"/>
        </w:rPr>
      </w:pPr>
      <w:r>
        <w:rPr>
          <w:rFonts w:cs="Arial"/>
          <w:szCs w:val="22"/>
        </w:rPr>
        <w:t>R35 CA197713</w:t>
      </w:r>
      <w:r w:rsidR="00FB70A3">
        <w:rPr>
          <w:rFonts w:cs="Arial"/>
          <w:szCs w:val="22"/>
        </w:rPr>
        <w:t xml:space="preserve">   NIH</w:t>
      </w:r>
      <w:r w:rsidR="00FB70A3">
        <w:rPr>
          <w:rFonts w:cs="Arial"/>
          <w:szCs w:val="22"/>
        </w:rPr>
        <w:br/>
        <w:t>Giaccia (PI)</w:t>
      </w:r>
      <w:r w:rsidRPr="005768EA">
        <w:rPr>
          <w:rFonts w:cs="Arial"/>
          <w:szCs w:val="22"/>
        </w:rPr>
        <w:tab/>
      </w:r>
      <w:r>
        <w:rPr>
          <w:rFonts w:cs="Arial"/>
          <w:szCs w:val="22"/>
        </w:rPr>
        <w:br/>
        <w:t>NIH Outstanding Investigator Award</w:t>
      </w:r>
      <w:r w:rsidR="00FB70A3">
        <w:rPr>
          <w:rFonts w:cs="Arial"/>
          <w:szCs w:val="22"/>
        </w:rPr>
        <w:br/>
      </w:r>
      <w:r w:rsidR="00FB70A3" w:rsidRPr="00FB70A3">
        <w:rPr>
          <w:rFonts w:cs="Arial"/>
          <w:bCs/>
          <w:color w:val="000000"/>
          <w:szCs w:val="22"/>
        </w:rPr>
        <w:t>The Impact of Mitochondrial Repression and Lipid Accumulation by HIF on Tumor Growth</w:t>
      </w:r>
      <w:r w:rsidRPr="00FB70A3">
        <w:rPr>
          <w:rFonts w:cs="Arial"/>
          <w:bCs/>
          <w:szCs w:val="22"/>
        </w:rPr>
        <w:br/>
      </w:r>
      <w:r w:rsidR="00FB70A3">
        <w:rPr>
          <w:rFonts w:cs="Arial"/>
          <w:szCs w:val="22"/>
        </w:rPr>
        <w:t>08/01/15–07/31/22</w:t>
      </w:r>
    </w:p>
    <w:p w14:paraId="76E83DC1" w14:textId="3892B3D2" w:rsidR="008037C9" w:rsidRDefault="008037C9" w:rsidP="008037C9">
      <w:pPr>
        <w:tabs>
          <w:tab w:val="right" w:pos="9960"/>
        </w:tabs>
        <w:spacing w:before="140"/>
        <w:rPr>
          <w:rFonts w:cs="Arial"/>
          <w:color w:val="000000"/>
          <w:szCs w:val="22"/>
        </w:rPr>
      </w:pPr>
      <w:r w:rsidRPr="00615E3C">
        <w:rPr>
          <w:rFonts w:cs="Arial"/>
        </w:rPr>
        <w:t>MRC Radiation Biology Unit</w:t>
      </w:r>
      <w:r w:rsidR="00FB70A3">
        <w:rPr>
          <w:rFonts w:cs="Arial"/>
        </w:rPr>
        <w:br/>
      </w:r>
      <w:r w:rsidRPr="00615E3C">
        <w:rPr>
          <w:rFonts w:cs="Arial"/>
        </w:rPr>
        <w:t>Giaccia</w:t>
      </w:r>
      <w:r w:rsidR="00FB70A3">
        <w:rPr>
          <w:rFonts w:cs="Arial"/>
        </w:rPr>
        <w:t xml:space="preserve"> (Director)</w:t>
      </w:r>
      <w:r>
        <w:rPr>
          <w:rFonts w:cs="Arial"/>
        </w:rPr>
        <w:br/>
      </w:r>
      <w:r w:rsidR="00FB70A3" w:rsidRPr="00615E3C">
        <w:rPr>
          <w:rFonts w:cs="Arial"/>
        </w:rPr>
        <w:t>04/01/17</w:t>
      </w:r>
      <w:r w:rsidR="00FB70A3">
        <w:rPr>
          <w:rFonts w:cs="Arial"/>
        </w:rPr>
        <w:t>–0</w:t>
      </w:r>
      <w:r w:rsidR="00FB70A3" w:rsidRPr="00615E3C">
        <w:rPr>
          <w:rFonts w:cs="Arial"/>
        </w:rPr>
        <w:t>3/31/22</w:t>
      </w:r>
    </w:p>
    <w:p w14:paraId="469619BC" w14:textId="4620827E" w:rsidR="008037C9" w:rsidRDefault="008037C9" w:rsidP="008037C9">
      <w:pPr>
        <w:tabs>
          <w:tab w:val="right" w:pos="9960"/>
        </w:tabs>
        <w:spacing w:before="140"/>
        <w:rPr>
          <w:rFonts w:cs="Arial"/>
          <w:color w:val="000000"/>
          <w:szCs w:val="22"/>
        </w:rPr>
      </w:pPr>
      <w:r w:rsidRPr="00615E3C">
        <w:rPr>
          <w:rFonts w:cs="Arial"/>
        </w:rPr>
        <w:t xml:space="preserve">CRUK </w:t>
      </w:r>
      <w:proofErr w:type="spellStart"/>
      <w:r w:rsidRPr="00615E3C">
        <w:rPr>
          <w:rFonts w:cs="Arial"/>
        </w:rPr>
        <w:t>RadNet</w:t>
      </w:r>
      <w:proofErr w:type="spellEnd"/>
      <w:r w:rsidRPr="00615E3C">
        <w:rPr>
          <w:rFonts w:cs="Arial"/>
        </w:rPr>
        <w:t xml:space="preserve"> Center</w:t>
      </w:r>
      <w:r>
        <w:rPr>
          <w:rFonts w:cs="Arial"/>
        </w:rPr>
        <w:br/>
      </w:r>
      <w:r w:rsidR="00FB70A3">
        <w:rPr>
          <w:rFonts w:cs="Arial"/>
        </w:rPr>
        <w:t>Giaccia (Director)</w:t>
      </w:r>
      <w:r w:rsidR="00FB70A3">
        <w:rPr>
          <w:rFonts w:cs="Arial"/>
        </w:rPr>
        <w:br/>
      </w:r>
      <w:r w:rsidR="00FB70A3" w:rsidRPr="00615E3C">
        <w:rPr>
          <w:rFonts w:cs="Arial"/>
        </w:rPr>
        <w:t>11/</w:t>
      </w:r>
      <w:r w:rsidR="00FB70A3">
        <w:rPr>
          <w:rFonts w:cs="Arial"/>
        </w:rPr>
        <w:t>0</w:t>
      </w:r>
      <w:r w:rsidR="00FB70A3" w:rsidRPr="00615E3C">
        <w:rPr>
          <w:rFonts w:cs="Arial"/>
        </w:rPr>
        <w:t>1/19</w:t>
      </w:r>
      <w:r w:rsidR="00FB70A3">
        <w:rPr>
          <w:rFonts w:cs="Arial"/>
        </w:rPr>
        <w:t>–</w:t>
      </w:r>
      <w:r w:rsidR="00FB70A3" w:rsidRPr="00615E3C">
        <w:rPr>
          <w:rFonts w:cs="Arial"/>
        </w:rPr>
        <w:t>10/31/24</w:t>
      </w:r>
    </w:p>
    <w:p w14:paraId="67C887EB" w14:textId="77777777" w:rsidR="00FB70A3" w:rsidRDefault="008037C9" w:rsidP="00FB70A3">
      <w:pPr>
        <w:tabs>
          <w:tab w:val="right" w:pos="9960"/>
        </w:tabs>
        <w:spacing w:before="140"/>
        <w:rPr>
          <w:rFonts w:cs="Arial"/>
          <w:color w:val="000000"/>
          <w:szCs w:val="22"/>
        </w:rPr>
      </w:pPr>
      <w:r w:rsidRPr="00B82A14">
        <w:rPr>
          <w:rFonts w:cs="Arial"/>
          <w:color w:val="000000"/>
          <w:szCs w:val="22"/>
        </w:rPr>
        <w:t xml:space="preserve">R01 AR065403  </w:t>
      </w:r>
      <w:r w:rsidR="00FB70A3">
        <w:rPr>
          <w:rFonts w:cs="Arial"/>
          <w:color w:val="000000"/>
          <w:szCs w:val="22"/>
        </w:rPr>
        <w:t xml:space="preserve"> </w:t>
      </w:r>
      <w:r w:rsidR="00FB70A3" w:rsidRPr="00B82A14">
        <w:rPr>
          <w:rFonts w:cs="Arial"/>
          <w:color w:val="000000"/>
          <w:szCs w:val="22"/>
        </w:rPr>
        <w:t>NIH/NIDDK</w:t>
      </w:r>
      <w:r w:rsidR="00FB70A3">
        <w:rPr>
          <w:rFonts w:cs="Arial"/>
          <w:color w:val="000000"/>
          <w:szCs w:val="22"/>
        </w:rPr>
        <w:br/>
      </w:r>
      <w:proofErr w:type="gramStart"/>
      <w:r w:rsidRPr="00B82A14">
        <w:rPr>
          <w:rFonts w:cs="Arial"/>
          <w:color w:val="000000"/>
          <w:szCs w:val="22"/>
        </w:rPr>
        <w:t>Schipani</w:t>
      </w:r>
      <w:r w:rsidR="00FB70A3">
        <w:rPr>
          <w:rFonts w:cs="Arial"/>
          <w:color w:val="000000"/>
          <w:szCs w:val="22"/>
        </w:rPr>
        <w:t xml:space="preserve">  (</w:t>
      </w:r>
      <w:proofErr w:type="gramEnd"/>
      <w:r w:rsidR="00FB70A3">
        <w:rPr>
          <w:rFonts w:cs="Arial"/>
          <w:color w:val="000000"/>
          <w:szCs w:val="22"/>
        </w:rPr>
        <w:t>PI), Role:  Co-Investigator</w:t>
      </w:r>
      <w:r w:rsidR="00FB70A3">
        <w:rPr>
          <w:rFonts w:cs="Arial"/>
          <w:color w:val="000000"/>
          <w:szCs w:val="22"/>
        </w:rPr>
        <w:br/>
      </w:r>
      <w:r w:rsidR="00FB70A3" w:rsidRPr="00FB70A3">
        <w:rPr>
          <w:rFonts w:cs="Arial"/>
          <w:bCs/>
          <w:szCs w:val="22"/>
        </w:rPr>
        <w:t>HIF-1</w:t>
      </w:r>
      <w:r w:rsidR="00FB70A3" w:rsidRPr="00FB70A3">
        <w:rPr>
          <w:rFonts w:cs="Arial"/>
          <w:bCs/>
          <w:szCs w:val="22"/>
        </w:rPr>
        <w:sym w:font="Symbol" w:char="F061"/>
      </w:r>
      <w:r w:rsidR="00FB70A3" w:rsidRPr="00FB70A3">
        <w:rPr>
          <w:rFonts w:cs="Arial"/>
          <w:bCs/>
          <w:szCs w:val="22"/>
        </w:rPr>
        <w:t>, a Survival and Differentiation Factor for Cartilage</w:t>
      </w:r>
      <w:r w:rsidR="00FB70A3" w:rsidRPr="00FB70A3">
        <w:rPr>
          <w:rFonts w:cs="Arial"/>
          <w:bCs/>
          <w:color w:val="000000"/>
          <w:szCs w:val="22"/>
        </w:rPr>
        <w:br/>
      </w:r>
      <w:r w:rsidR="00FB70A3" w:rsidRPr="00B82A14">
        <w:rPr>
          <w:rFonts w:cs="Arial"/>
          <w:color w:val="000000"/>
          <w:szCs w:val="22"/>
        </w:rPr>
        <w:t>10/01/13–10/31/18</w:t>
      </w:r>
    </w:p>
    <w:p w14:paraId="1BB99015" w14:textId="515BAEF9" w:rsidR="008037C9" w:rsidRPr="005768EA" w:rsidRDefault="008037C9" w:rsidP="00FB70A3">
      <w:pPr>
        <w:tabs>
          <w:tab w:val="right" w:pos="9960"/>
        </w:tabs>
        <w:spacing w:before="140"/>
        <w:rPr>
          <w:rFonts w:cs="Arial"/>
          <w:b/>
          <w:szCs w:val="22"/>
        </w:rPr>
      </w:pPr>
      <w:r>
        <w:rPr>
          <w:rFonts w:cs="Arial"/>
          <w:szCs w:val="22"/>
        </w:rPr>
        <w:t xml:space="preserve">R01 </w:t>
      </w:r>
      <w:r w:rsidRPr="00A56BFF">
        <w:rPr>
          <w:rFonts w:eastAsia="Times" w:cs="Arial"/>
          <w:color w:val="000000" w:themeColor="text1"/>
          <w:szCs w:val="22"/>
        </w:rPr>
        <w:t>CA19829</w:t>
      </w:r>
      <w:r>
        <w:rPr>
          <w:rFonts w:eastAsia="Times" w:cs="Arial"/>
          <w:color w:val="000000" w:themeColor="text1"/>
          <w:szCs w:val="22"/>
        </w:rPr>
        <w:t>1</w:t>
      </w:r>
      <w:r>
        <w:rPr>
          <w:rFonts w:cs="Arial"/>
          <w:szCs w:val="22"/>
        </w:rPr>
        <w:t xml:space="preserve"> </w:t>
      </w:r>
      <w:r w:rsidR="00FB70A3">
        <w:rPr>
          <w:rFonts w:cs="Arial"/>
          <w:szCs w:val="22"/>
        </w:rPr>
        <w:t xml:space="preserve"> </w:t>
      </w:r>
      <w:r>
        <w:rPr>
          <w:rFonts w:cs="Arial"/>
          <w:szCs w:val="22"/>
        </w:rPr>
        <w:t xml:space="preserve"> </w:t>
      </w:r>
      <w:r w:rsidR="00FB70A3">
        <w:rPr>
          <w:rFonts w:cs="Arial"/>
          <w:szCs w:val="22"/>
        </w:rPr>
        <w:t>NIH</w:t>
      </w:r>
      <w:r w:rsidR="00FB70A3">
        <w:rPr>
          <w:rFonts w:cs="Arial"/>
          <w:szCs w:val="22"/>
        </w:rPr>
        <w:br/>
      </w:r>
      <w:r>
        <w:rPr>
          <w:rFonts w:cs="Arial"/>
          <w:szCs w:val="22"/>
        </w:rPr>
        <w:t>Giaccia</w:t>
      </w:r>
      <w:r w:rsidR="00FB70A3">
        <w:rPr>
          <w:rFonts w:cs="Arial"/>
          <w:szCs w:val="22"/>
        </w:rPr>
        <w:t xml:space="preserve"> (PI</w:t>
      </w:r>
      <w:r>
        <w:rPr>
          <w:rFonts w:cs="Arial"/>
          <w:szCs w:val="22"/>
        </w:rPr>
        <w:t>)</w:t>
      </w:r>
      <w:r w:rsidRPr="005768EA">
        <w:rPr>
          <w:rFonts w:cs="Arial"/>
          <w:szCs w:val="22"/>
        </w:rPr>
        <w:br/>
      </w:r>
      <w:r w:rsidRPr="00FB70A3">
        <w:rPr>
          <w:rFonts w:cs="Arial"/>
          <w:bCs/>
          <w:color w:val="000000"/>
          <w:szCs w:val="22"/>
        </w:rPr>
        <w:t>Preclinical Testing of a Novel Therapy Targeting AXL in Advanced Kidney Cancer</w:t>
      </w:r>
      <w:r w:rsidR="00FB70A3" w:rsidRPr="00FB70A3">
        <w:rPr>
          <w:rFonts w:cs="Arial"/>
          <w:bCs/>
          <w:color w:val="000000"/>
          <w:szCs w:val="22"/>
        </w:rPr>
        <w:br/>
      </w:r>
      <w:r w:rsidR="00FB70A3">
        <w:rPr>
          <w:rFonts w:cs="Arial"/>
          <w:szCs w:val="22"/>
        </w:rPr>
        <w:t>04/01/16–03/31/21</w:t>
      </w:r>
    </w:p>
    <w:p w14:paraId="7DC005D7" w14:textId="72C1FAB3" w:rsidR="008037C9" w:rsidRPr="00B82A14" w:rsidRDefault="008037C9" w:rsidP="008037C9">
      <w:pPr>
        <w:tabs>
          <w:tab w:val="right" w:pos="9960"/>
        </w:tabs>
        <w:spacing w:before="140"/>
        <w:rPr>
          <w:rFonts w:cs="Arial"/>
          <w:b/>
          <w:szCs w:val="22"/>
        </w:rPr>
      </w:pPr>
      <w:r w:rsidRPr="00B82A14">
        <w:rPr>
          <w:rFonts w:cs="Arial"/>
          <w:color w:val="000000"/>
          <w:szCs w:val="22"/>
        </w:rPr>
        <w:t>P30 CA124435</w:t>
      </w:r>
      <w:r w:rsidR="00FB70A3">
        <w:rPr>
          <w:rFonts w:cs="Arial"/>
          <w:color w:val="000000"/>
          <w:szCs w:val="22"/>
        </w:rPr>
        <w:t xml:space="preserve">   NIH/NCI</w:t>
      </w:r>
      <w:r w:rsidR="00FB70A3">
        <w:rPr>
          <w:rFonts w:cs="Arial"/>
          <w:color w:val="000000"/>
          <w:szCs w:val="22"/>
        </w:rPr>
        <w:br/>
      </w:r>
      <w:r w:rsidRPr="00B82A14">
        <w:rPr>
          <w:rFonts w:cs="Arial"/>
          <w:color w:val="000000"/>
          <w:szCs w:val="22"/>
        </w:rPr>
        <w:t>Mitchell</w:t>
      </w:r>
      <w:r w:rsidR="00FB70A3">
        <w:rPr>
          <w:rFonts w:cs="Arial"/>
          <w:color w:val="000000"/>
          <w:szCs w:val="22"/>
        </w:rPr>
        <w:t xml:space="preserve">  (PI</w:t>
      </w:r>
      <w:r w:rsidRPr="00B82A14">
        <w:rPr>
          <w:rFonts w:cs="Arial"/>
          <w:color w:val="000000"/>
          <w:szCs w:val="22"/>
        </w:rPr>
        <w:t>)</w:t>
      </w:r>
      <w:r w:rsidR="00FB70A3" w:rsidRPr="00FB70A3">
        <w:rPr>
          <w:rFonts w:cs="Arial"/>
          <w:color w:val="000000"/>
          <w:szCs w:val="22"/>
        </w:rPr>
        <w:t xml:space="preserve"> </w:t>
      </w:r>
      <w:r w:rsidR="00FB70A3">
        <w:rPr>
          <w:rFonts w:cs="Arial"/>
          <w:color w:val="000000"/>
          <w:szCs w:val="22"/>
        </w:rPr>
        <w:t>), Role:  Pr</w:t>
      </w:r>
      <w:r w:rsidR="003D4521">
        <w:rPr>
          <w:rFonts w:cs="Arial"/>
          <w:color w:val="000000"/>
          <w:szCs w:val="22"/>
        </w:rPr>
        <w:t>o</w:t>
      </w:r>
      <w:r w:rsidR="00FB70A3">
        <w:rPr>
          <w:rFonts w:cs="Arial"/>
          <w:color w:val="000000"/>
          <w:szCs w:val="22"/>
        </w:rPr>
        <w:t>gram Leader</w:t>
      </w:r>
      <w:r w:rsidRPr="00B82A14">
        <w:rPr>
          <w:rFonts w:cs="Arial"/>
          <w:szCs w:val="22"/>
        </w:rPr>
        <w:br/>
      </w:r>
      <w:r w:rsidRPr="00FB70A3">
        <w:rPr>
          <w:rFonts w:cs="Arial"/>
          <w:bCs/>
          <w:szCs w:val="22"/>
        </w:rPr>
        <w:lastRenderedPageBreak/>
        <w:t>Stanford University Cancer Cente</w:t>
      </w:r>
      <w:r w:rsidR="00FB70A3" w:rsidRPr="00FB70A3">
        <w:rPr>
          <w:rFonts w:cs="Arial"/>
          <w:bCs/>
          <w:szCs w:val="22"/>
        </w:rPr>
        <w:t>r</w:t>
      </w:r>
      <w:r w:rsidR="00FB70A3" w:rsidRPr="00FB70A3">
        <w:rPr>
          <w:rFonts w:cs="Arial"/>
          <w:bCs/>
          <w:szCs w:val="22"/>
        </w:rPr>
        <w:br/>
      </w:r>
      <w:r w:rsidR="00FB70A3" w:rsidRPr="00B82A14">
        <w:rPr>
          <w:rFonts w:cs="Arial"/>
          <w:color w:val="000000"/>
          <w:szCs w:val="22"/>
        </w:rPr>
        <w:t>06</w:t>
      </w:r>
      <w:r w:rsidR="00FB70A3" w:rsidRPr="00B82A14">
        <w:rPr>
          <w:rFonts w:cs="Arial"/>
          <w:szCs w:val="22"/>
        </w:rPr>
        <w:t>/0</w:t>
      </w:r>
      <w:r w:rsidR="00FB70A3">
        <w:rPr>
          <w:rFonts w:cs="Arial"/>
          <w:szCs w:val="22"/>
        </w:rPr>
        <w:t>4/07–05/31/21</w:t>
      </w:r>
    </w:p>
    <w:p w14:paraId="299E74A6" w14:textId="6052EAAE" w:rsidR="00FB70A3" w:rsidRDefault="008037C9" w:rsidP="00FB70A3">
      <w:pPr>
        <w:tabs>
          <w:tab w:val="right" w:pos="9960"/>
        </w:tabs>
        <w:spacing w:before="140"/>
        <w:rPr>
          <w:rFonts w:cs="Arial"/>
          <w:szCs w:val="22"/>
        </w:rPr>
      </w:pPr>
      <w:r>
        <w:rPr>
          <w:rFonts w:cs="Arial"/>
          <w:szCs w:val="22"/>
        </w:rPr>
        <w:t xml:space="preserve">R01 </w:t>
      </w:r>
      <w:r w:rsidRPr="00A56BFF">
        <w:rPr>
          <w:rFonts w:eastAsia="Times" w:cs="Arial"/>
          <w:color w:val="000000" w:themeColor="text1"/>
          <w:szCs w:val="22"/>
        </w:rPr>
        <w:t>CA19829</w:t>
      </w:r>
      <w:r>
        <w:rPr>
          <w:rFonts w:eastAsia="Times" w:cs="Arial"/>
          <w:color w:val="000000" w:themeColor="text1"/>
          <w:szCs w:val="22"/>
        </w:rPr>
        <w:t>1</w:t>
      </w:r>
      <w:r w:rsidR="00FB70A3">
        <w:rPr>
          <w:rFonts w:eastAsia="Times" w:cs="Arial"/>
          <w:color w:val="000000" w:themeColor="text1"/>
          <w:szCs w:val="22"/>
        </w:rPr>
        <w:t>.  NIH</w:t>
      </w:r>
      <w:r w:rsidR="00FB70A3">
        <w:rPr>
          <w:rFonts w:eastAsia="Times" w:cs="Arial"/>
          <w:color w:val="000000" w:themeColor="text1"/>
          <w:szCs w:val="22"/>
        </w:rPr>
        <w:br/>
      </w:r>
      <w:r>
        <w:rPr>
          <w:rFonts w:cs="Arial"/>
          <w:szCs w:val="22"/>
        </w:rPr>
        <w:t>Giaccia</w:t>
      </w:r>
      <w:r w:rsidR="00FB70A3">
        <w:rPr>
          <w:rFonts w:cs="Arial"/>
          <w:szCs w:val="22"/>
        </w:rPr>
        <w:t xml:space="preserve"> (PI</w:t>
      </w:r>
      <w:r>
        <w:rPr>
          <w:rFonts w:cs="Arial"/>
          <w:szCs w:val="22"/>
        </w:rPr>
        <w:t>)</w:t>
      </w:r>
      <w:r w:rsidRPr="005768EA">
        <w:rPr>
          <w:rFonts w:cs="Arial"/>
          <w:szCs w:val="22"/>
        </w:rPr>
        <w:br/>
      </w:r>
      <w:r w:rsidRPr="00FB70A3">
        <w:rPr>
          <w:rFonts w:cs="Arial"/>
          <w:bCs/>
          <w:color w:val="000000"/>
          <w:szCs w:val="22"/>
        </w:rPr>
        <w:t>Preclinical Testing of a Novel Therapy Targeting AXL in Advanced Kidney Cancer</w:t>
      </w:r>
      <w:r w:rsidR="00FB70A3" w:rsidRPr="00FB70A3">
        <w:rPr>
          <w:rFonts w:eastAsia="Calibri" w:cs="Arial"/>
          <w:bCs/>
          <w:szCs w:val="22"/>
        </w:rPr>
        <w:br/>
      </w:r>
      <w:r w:rsidR="00FB70A3">
        <w:rPr>
          <w:rFonts w:cs="Arial"/>
          <w:szCs w:val="22"/>
        </w:rPr>
        <w:t>04/01/16–03/31/21</w:t>
      </w:r>
    </w:p>
    <w:p w14:paraId="69F50FBC" w14:textId="53E8EB79" w:rsidR="00E6057D" w:rsidRPr="00B82A14" w:rsidRDefault="00E6057D" w:rsidP="00FB70A3">
      <w:pPr>
        <w:tabs>
          <w:tab w:val="right" w:pos="9960"/>
        </w:tabs>
        <w:spacing w:before="140"/>
        <w:rPr>
          <w:rFonts w:cs="Arial"/>
          <w:b/>
          <w:szCs w:val="22"/>
        </w:rPr>
      </w:pPr>
      <w:r w:rsidRPr="00B82A14">
        <w:rPr>
          <w:rFonts w:cs="Arial"/>
          <w:b/>
          <w:szCs w:val="22"/>
        </w:rPr>
        <w:t xml:space="preserve">B. </w:t>
      </w:r>
      <w:r w:rsidR="008037C9" w:rsidRPr="00B82A14">
        <w:rPr>
          <w:rFonts w:cs="Arial"/>
          <w:b/>
          <w:szCs w:val="22"/>
        </w:rPr>
        <w:t>Positions</w:t>
      </w:r>
      <w:r w:rsidR="008037C9">
        <w:rPr>
          <w:rFonts w:cs="Arial"/>
          <w:b/>
          <w:szCs w:val="22"/>
        </w:rPr>
        <w:t>, Scientific Appointments and</w:t>
      </w:r>
      <w:r w:rsidR="008037C9" w:rsidRPr="00B82A14">
        <w:rPr>
          <w:rFonts w:cs="Arial"/>
          <w:b/>
          <w:szCs w:val="22"/>
        </w:rPr>
        <w:t xml:space="preserve"> Honors</w:t>
      </w:r>
    </w:p>
    <w:p w14:paraId="796992E8" w14:textId="77777777" w:rsidR="00E6057D" w:rsidRPr="00B82A14" w:rsidRDefault="00E6057D" w:rsidP="00E6057D">
      <w:pPr>
        <w:tabs>
          <w:tab w:val="right" w:pos="9900"/>
        </w:tabs>
        <w:ind w:left="1397" w:right="-86" w:hanging="1397"/>
        <w:jc w:val="both"/>
        <w:outlineLvl w:val="0"/>
        <w:rPr>
          <w:rFonts w:cs="Arial"/>
          <w:b/>
          <w:szCs w:val="22"/>
          <w:u w:val="single"/>
        </w:rPr>
      </w:pPr>
      <w:r w:rsidRPr="00B82A14">
        <w:rPr>
          <w:rFonts w:cs="Arial"/>
          <w:b/>
          <w:szCs w:val="22"/>
          <w:u w:val="single"/>
        </w:rPr>
        <w:t>Professional Experience</w:t>
      </w:r>
    </w:p>
    <w:p w14:paraId="0B617BB6" w14:textId="77777777" w:rsidR="008037C9" w:rsidRDefault="008037C9" w:rsidP="008037C9">
      <w:pPr>
        <w:tabs>
          <w:tab w:val="right" w:pos="9900"/>
        </w:tabs>
        <w:ind w:left="1530" w:right="-86" w:hanging="1530"/>
        <w:jc w:val="both"/>
        <w:rPr>
          <w:rFonts w:cs="Arial"/>
          <w:szCs w:val="22"/>
        </w:rPr>
      </w:pPr>
      <w:r>
        <w:rPr>
          <w:rFonts w:cs="Arial"/>
          <w:szCs w:val="22"/>
        </w:rPr>
        <w:t>2019–present</w:t>
      </w:r>
      <w:r>
        <w:rPr>
          <w:rFonts w:cs="Arial"/>
          <w:szCs w:val="22"/>
        </w:rPr>
        <w:tab/>
      </w:r>
      <w:r w:rsidRPr="00B82A14">
        <w:rPr>
          <w:rFonts w:cs="Arial"/>
          <w:szCs w:val="22"/>
        </w:rPr>
        <w:t>Professor</w:t>
      </w:r>
      <w:r>
        <w:rPr>
          <w:rFonts w:cs="Arial"/>
          <w:szCs w:val="22"/>
        </w:rPr>
        <w:t xml:space="preserve"> Emeritus (Active)</w:t>
      </w:r>
      <w:r w:rsidRPr="00B82A14">
        <w:rPr>
          <w:rFonts w:cs="Arial"/>
          <w:szCs w:val="22"/>
        </w:rPr>
        <w:t>, Dept of Radiation Oncology, Stanford University, Stanford, CA</w:t>
      </w:r>
    </w:p>
    <w:p w14:paraId="35D3B52F" w14:textId="77777777" w:rsidR="008037C9" w:rsidRDefault="008037C9" w:rsidP="008037C9">
      <w:pPr>
        <w:tabs>
          <w:tab w:val="right" w:pos="9900"/>
        </w:tabs>
        <w:ind w:left="1530" w:right="-86" w:hanging="1530"/>
        <w:jc w:val="both"/>
      </w:pPr>
      <w:r>
        <w:rPr>
          <w:rFonts w:cs="Arial"/>
          <w:szCs w:val="22"/>
        </w:rPr>
        <w:t>2019–present</w:t>
      </w:r>
      <w:r>
        <w:rPr>
          <w:rFonts w:cs="Arial"/>
          <w:szCs w:val="22"/>
        </w:rPr>
        <w:tab/>
        <w:t>Director, Oxford Institute for Radiation Oncology, University of Oxford, Oxford, UK</w:t>
      </w:r>
    </w:p>
    <w:p w14:paraId="5B3B420B" w14:textId="47698EF7" w:rsidR="008037C9" w:rsidRDefault="008037C9" w:rsidP="00F71FB9">
      <w:pPr>
        <w:tabs>
          <w:tab w:val="right" w:pos="9900"/>
        </w:tabs>
        <w:ind w:left="1530" w:right="-86" w:hanging="1530"/>
        <w:jc w:val="both"/>
        <w:rPr>
          <w:rFonts w:cs="Arial"/>
          <w:szCs w:val="22"/>
        </w:rPr>
      </w:pPr>
      <w:r>
        <w:rPr>
          <w:szCs w:val="22"/>
        </w:rPr>
        <w:t>2014–2022</w:t>
      </w:r>
      <w:r>
        <w:rPr>
          <w:szCs w:val="22"/>
        </w:rPr>
        <w:tab/>
        <w:t>Invited Faculty, Hokkaido University (nor formal duties or funding)</w:t>
      </w:r>
    </w:p>
    <w:p w14:paraId="7598A829" w14:textId="77777777" w:rsidR="008037C9" w:rsidRDefault="008037C9" w:rsidP="008037C9">
      <w:pPr>
        <w:tabs>
          <w:tab w:val="right" w:pos="9900"/>
        </w:tabs>
        <w:ind w:left="1530" w:right="-86" w:hanging="1530"/>
        <w:jc w:val="both"/>
        <w:rPr>
          <w:rFonts w:cs="Arial"/>
          <w:szCs w:val="22"/>
        </w:rPr>
      </w:pPr>
      <w:r>
        <w:t>2012–2019</w:t>
      </w:r>
      <w:r>
        <w:tab/>
        <w:t xml:space="preserve">Associate Director for Basic Science, Stanford Cancer Institute, </w:t>
      </w:r>
      <w:r w:rsidRPr="00B82A14">
        <w:rPr>
          <w:rFonts w:cs="Arial"/>
          <w:szCs w:val="22"/>
        </w:rPr>
        <w:t>Stanford, CA</w:t>
      </w:r>
    </w:p>
    <w:p w14:paraId="76E09588" w14:textId="77777777" w:rsidR="002F5D47" w:rsidRDefault="002F5D47" w:rsidP="002F5D47">
      <w:pPr>
        <w:tabs>
          <w:tab w:val="right" w:pos="9900"/>
        </w:tabs>
        <w:ind w:left="1530" w:right="-86" w:hanging="1530"/>
        <w:jc w:val="both"/>
      </w:pPr>
      <w:r>
        <w:t>2012</w:t>
      </w:r>
      <w:r w:rsidRPr="0017226D">
        <w:t>–20</w:t>
      </w:r>
      <w:r>
        <w:t>16</w:t>
      </w:r>
      <w:r w:rsidRPr="0017226D">
        <w:tab/>
        <w:t xml:space="preserve">Member, </w:t>
      </w:r>
      <w:r>
        <w:t>Basic Mechanisms of Cancer Therapeutics</w:t>
      </w:r>
      <w:r w:rsidRPr="0017226D">
        <w:t xml:space="preserve"> Study Section, NIH Center for Scientific Review</w:t>
      </w:r>
      <w:r>
        <w:t xml:space="preserve"> (Chair, 2015–2016)</w:t>
      </w:r>
    </w:p>
    <w:p w14:paraId="36997388" w14:textId="77777777" w:rsidR="002F5D47" w:rsidRDefault="002F5D47" w:rsidP="002F5D47">
      <w:pPr>
        <w:tabs>
          <w:tab w:val="right" w:pos="9900"/>
        </w:tabs>
        <w:ind w:left="1530" w:right="-86" w:hanging="1530"/>
        <w:jc w:val="both"/>
        <w:rPr>
          <w:rFonts w:cs="Arial"/>
          <w:szCs w:val="22"/>
        </w:rPr>
      </w:pPr>
      <w:r>
        <w:t>2011–2019</w:t>
      </w:r>
      <w:r>
        <w:tab/>
        <w:t xml:space="preserve">Associate Chair, Research, </w:t>
      </w:r>
      <w:r w:rsidRPr="00B82A14">
        <w:rPr>
          <w:rFonts w:cs="Arial"/>
          <w:szCs w:val="22"/>
        </w:rPr>
        <w:t>Dept of Radiation Oncology, Stanford University, Stanford, CA</w:t>
      </w:r>
    </w:p>
    <w:p w14:paraId="3F51CB40"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2007–present</w:t>
      </w:r>
      <w:r w:rsidRPr="00B82A14">
        <w:rPr>
          <w:rFonts w:cs="Arial"/>
          <w:szCs w:val="22"/>
        </w:rPr>
        <w:tab/>
        <w:t>Professor (by courtesy), Dept of Surgery, Stanford University, Stanford, CA</w:t>
      </w:r>
    </w:p>
    <w:p w14:paraId="58481AAE"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2004–</w:t>
      </w:r>
      <w:r>
        <w:rPr>
          <w:rFonts w:cs="Arial"/>
          <w:szCs w:val="22"/>
        </w:rPr>
        <w:t>2019</w:t>
      </w:r>
      <w:r w:rsidRPr="00B82A14">
        <w:rPr>
          <w:rFonts w:cs="Arial"/>
          <w:szCs w:val="22"/>
        </w:rPr>
        <w:tab/>
        <w:t xml:space="preserve">Director, </w:t>
      </w:r>
      <w:proofErr w:type="spellStart"/>
      <w:r w:rsidRPr="00B82A14">
        <w:rPr>
          <w:rFonts w:cs="Arial"/>
          <w:szCs w:val="22"/>
        </w:rPr>
        <w:t>Div</w:t>
      </w:r>
      <w:proofErr w:type="spellEnd"/>
      <w:r w:rsidRPr="00B82A14">
        <w:rPr>
          <w:rFonts w:cs="Arial"/>
          <w:szCs w:val="22"/>
        </w:rPr>
        <w:t xml:space="preserve"> of Radiation </w:t>
      </w:r>
      <w:r>
        <w:rPr>
          <w:rFonts w:cs="Arial"/>
          <w:szCs w:val="22"/>
        </w:rPr>
        <w:t xml:space="preserve">&amp; Cancer </w:t>
      </w:r>
      <w:r w:rsidRPr="00B82A14">
        <w:rPr>
          <w:rFonts w:cs="Arial"/>
          <w:szCs w:val="22"/>
        </w:rPr>
        <w:t>Biology, Dept of Radiation Oncology, Stanford Univ, Stanford, CA</w:t>
      </w:r>
    </w:p>
    <w:p w14:paraId="5878B6CC"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2003–</w:t>
      </w:r>
      <w:r>
        <w:rPr>
          <w:rFonts w:cs="Arial"/>
          <w:szCs w:val="22"/>
        </w:rPr>
        <w:t>2019</w:t>
      </w:r>
      <w:r>
        <w:rPr>
          <w:rFonts w:cs="Arial"/>
          <w:szCs w:val="22"/>
        </w:rPr>
        <w:tab/>
      </w:r>
      <w:r w:rsidRPr="00B82A14">
        <w:rPr>
          <w:rFonts w:cs="Arial"/>
          <w:szCs w:val="22"/>
        </w:rPr>
        <w:t>Professor, Dept of Radiation Oncology, Stanford University, Stanford, CA</w:t>
      </w:r>
    </w:p>
    <w:p w14:paraId="1AE69D39"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2001–present</w:t>
      </w:r>
      <w:r w:rsidRPr="00B82A14">
        <w:rPr>
          <w:rFonts w:cs="Arial"/>
          <w:szCs w:val="22"/>
        </w:rPr>
        <w:tab/>
        <w:t xml:space="preserve">Professor (by courtesy), Dept of Gynecology </w:t>
      </w:r>
      <w:r>
        <w:rPr>
          <w:rFonts w:cs="Arial"/>
          <w:szCs w:val="22"/>
        </w:rPr>
        <w:t>&amp;</w:t>
      </w:r>
      <w:r w:rsidRPr="00B82A14">
        <w:rPr>
          <w:rFonts w:cs="Arial"/>
          <w:szCs w:val="22"/>
        </w:rPr>
        <w:t xml:space="preserve"> Obstetrics, Stanford University, Stanford, CA</w:t>
      </w:r>
    </w:p>
    <w:p w14:paraId="225BFE7A"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1999–2003</w:t>
      </w:r>
      <w:r w:rsidRPr="00B82A14">
        <w:rPr>
          <w:rFonts w:cs="Arial"/>
          <w:szCs w:val="22"/>
        </w:rPr>
        <w:tab/>
        <w:t>Associate Professor (with tenure), Dept of Radiation Oncology, Stanford Univ</w:t>
      </w:r>
      <w:r>
        <w:rPr>
          <w:rFonts w:cs="Arial"/>
          <w:szCs w:val="22"/>
        </w:rPr>
        <w:t>ersity</w:t>
      </w:r>
      <w:r w:rsidRPr="00B82A14">
        <w:rPr>
          <w:rFonts w:cs="Arial"/>
          <w:szCs w:val="22"/>
        </w:rPr>
        <w:t>, Stanford, CA</w:t>
      </w:r>
    </w:p>
    <w:p w14:paraId="6235D8E6" w14:textId="5606BADB" w:rsidR="00E6057D" w:rsidRPr="00B82A14" w:rsidRDefault="00E6057D" w:rsidP="00F71FB9">
      <w:pPr>
        <w:tabs>
          <w:tab w:val="right" w:pos="9900"/>
        </w:tabs>
        <w:ind w:left="1530" w:right="-86" w:hanging="1530"/>
        <w:jc w:val="both"/>
        <w:rPr>
          <w:rFonts w:cs="Arial"/>
          <w:szCs w:val="22"/>
        </w:rPr>
      </w:pPr>
      <w:r w:rsidRPr="00B82A14">
        <w:rPr>
          <w:rFonts w:cs="Arial"/>
          <w:szCs w:val="22"/>
        </w:rPr>
        <w:t>1992–1999</w:t>
      </w:r>
      <w:r w:rsidRPr="00B82A14">
        <w:rPr>
          <w:rFonts w:cs="Arial"/>
          <w:szCs w:val="22"/>
        </w:rPr>
        <w:tab/>
        <w:t>Assistant Professor, Dept of Radiation Oncology, Stanford University, Stanford, CA</w:t>
      </w:r>
    </w:p>
    <w:p w14:paraId="7655CDA2" w14:textId="77777777" w:rsidR="00E6057D" w:rsidRPr="00B82A14" w:rsidRDefault="00E6057D" w:rsidP="00064C01">
      <w:pPr>
        <w:tabs>
          <w:tab w:val="right" w:pos="9900"/>
        </w:tabs>
        <w:spacing w:before="20"/>
        <w:ind w:left="1397" w:right="-86" w:hanging="1397"/>
        <w:jc w:val="both"/>
        <w:outlineLvl w:val="0"/>
        <w:rPr>
          <w:rFonts w:cs="Arial"/>
          <w:b/>
          <w:szCs w:val="22"/>
          <w:u w:val="single"/>
        </w:rPr>
      </w:pPr>
      <w:r w:rsidRPr="00B82A14">
        <w:rPr>
          <w:rFonts w:cs="Arial"/>
          <w:b/>
          <w:szCs w:val="22"/>
          <w:u w:val="single"/>
        </w:rPr>
        <w:t>Honors and Awards</w:t>
      </w:r>
    </w:p>
    <w:p w14:paraId="0EEE5562" w14:textId="77777777" w:rsidR="002F5D47" w:rsidRDefault="002F5D47" w:rsidP="002F5D47">
      <w:pPr>
        <w:tabs>
          <w:tab w:val="right" w:pos="9900"/>
        </w:tabs>
        <w:ind w:left="1530" w:right="-86" w:hanging="1530"/>
        <w:jc w:val="both"/>
        <w:rPr>
          <w:rFonts w:cs="Arial"/>
          <w:szCs w:val="22"/>
        </w:rPr>
      </w:pPr>
      <w:r>
        <w:t>2015–2016</w:t>
      </w:r>
      <w:r>
        <w:tab/>
      </w:r>
      <w:r w:rsidRPr="00CF3D0E">
        <w:rPr>
          <w:rFonts w:cs="Arial"/>
          <w:szCs w:val="22"/>
        </w:rPr>
        <w:t>Stanford Biosciences “Excellence in Mentoring and Service Award</w:t>
      </w:r>
    </w:p>
    <w:p w14:paraId="11DB50FD" w14:textId="77777777" w:rsidR="002F5D47" w:rsidRDefault="002F5D47" w:rsidP="002F5D47">
      <w:pPr>
        <w:tabs>
          <w:tab w:val="right" w:pos="9900"/>
        </w:tabs>
        <w:ind w:left="1530" w:right="-86" w:hanging="1530"/>
        <w:jc w:val="both"/>
        <w:rPr>
          <w:rFonts w:cs="Arial"/>
          <w:szCs w:val="22"/>
        </w:rPr>
      </w:pPr>
      <w:r>
        <w:rPr>
          <w:rFonts w:cs="Arial"/>
          <w:szCs w:val="22"/>
        </w:rPr>
        <w:t>2015</w:t>
      </w:r>
      <w:r>
        <w:rPr>
          <w:rFonts w:cs="Arial"/>
          <w:szCs w:val="22"/>
        </w:rPr>
        <w:tab/>
        <w:t>National Academy of Medicine</w:t>
      </w:r>
    </w:p>
    <w:p w14:paraId="05E14FD7" w14:textId="77777777" w:rsidR="002F5D47" w:rsidRDefault="002F5D47" w:rsidP="002F5D47">
      <w:pPr>
        <w:tabs>
          <w:tab w:val="right" w:pos="9900"/>
        </w:tabs>
        <w:ind w:left="1530" w:right="-86" w:hanging="1530"/>
        <w:jc w:val="both"/>
        <w:rPr>
          <w:rFonts w:cs="Arial"/>
          <w:szCs w:val="22"/>
        </w:rPr>
      </w:pPr>
      <w:r>
        <w:rPr>
          <w:rFonts w:cs="Arial"/>
          <w:szCs w:val="22"/>
        </w:rPr>
        <w:t>2015</w:t>
      </w:r>
      <w:r>
        <w:rPr>
          <w:rFonts w:cs="Arial"/>
          <w:szCs w:val="22"/>
        </w:rPr>
        <w:tab/>
        <w:t>NIH Outstanding Investigator Award, R35 CA197713</w:t>
      </w:r>
    </w:p>
    <w:p w14:paraId="418849E8" w14:textId="77777777" w:rsidR="002F5D47" w:rsidRDefault="002F5D47" w:rsidP="002F5D47">
      <w:pPr>
        <w:tabs>
          <w:tab w:val="right" w:pos="9900"/>
        </w:tabs>
        <w:ind w:left="1530" w:right="-86" w:hanging="1530"/>
        <w:jc w:val="both"/>
        <w:rPr>
          <w:rFonts w:cs="Arial"/>
          <w:szCs w:val="22"/>
        </w:rPr>
      </w:pPr>
      <w:r w:rsidRPr="00B82A14">
        <w:rPr>
          <w:rFonts w:cs="Arial"/>
          <w:szCs w:val="22"/>
        </w:rPr>
        <w:t>2013</w:t>
      </w:r>
      <w:r w:rsidRPr="00B82A14">
        <w:rPr>
          <w:rFonts w:cs="Arial"/>
          <w:szCs w:val="22"/>
        </w:rPr>
        <w:tab/>
        <w:t>ASTRO Gold Medal</w:t>
      </w:r>
    </w:p>
    <w:p w14:paraId="1511CB66"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2010</w:t>
      </w:r>
      <w:r w:rsidRPr="00B82A14">
        <w:rPr>
          <w:rFonts w:cs="Arial"/>
          <w:szCs w:val="22"/>
        </w:rPr>
        <w:tab/>
        <w:t>MERIT Award NIH</w:t>
      </w:r>
    </w:p>
    <w:p w14:paraId="0C228E8E"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2006</w:t>
      </w:r>
      <w:r w:rsidRPr="00B82A14">
        <w:rPr>
          <w:rFonts w:cs="Arial"/>
          <w:szCs w:val="22"/>
        </w:rPr>
        <w:tab/>
        <w:t>Jack, Lulu and Sam Willson Professor of Cancer Biology</w:t>
      </w:r>
    </w:p>
    <w:p w14:paraId="265D28D8"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2000</w:t>
      </w:r>
      <w:r w:rsidRPr="00B82A14">
        <w:rPr>
          <w:rFonts w:cs="Arial"/>
          <w:szCs w:val="22"/>
        </w:rPr>
        <w:tab/>
        <w:t xml:space="preserve">John </w:t>
      </w:r>
      <w:proofErr w:type="spellStart"/>
      <w:r w:rsidRPr="00B82A14">
        <w:rPr>
          <w:rFonts w:cs="Arial"/>
          <w:szCs w:val="22"/>
        </w:rPr>
        <w:t>Yuhas</w:t>
      </w:r>
      <w:proofErr w:type="spellEnd"/>
      <w:r w:rsidRPr="00B82A14">
        <w:rPr>
          <w:rFonts w:cs="Arial"/>
          <w:szCs w:val="22"/>
        </w:rPr>
        <w:t xml:space="preserve"> Award (Excellence in Radiation Oncology, University of Pennsylvania)</w:t>
      </w:r>
    </w:p>
    <w:p w14:paraId="634DAAC4"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1997</w:t>
      </w:r>
      <w:r w:rsidRPr="00B82A14">
        <w:rPr>
          <w:rFonts w:cs="Arial"/>
          <w:szCs w:val="22"/>
        </w:rPr>
        <w:tab/>
        <w:t>Michael Fry Research Awardee of the Radiation Research Society</w:t>
      </w:r>
    </w:p>
    <w:p w14:paraId="0CAF6CBC"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1996</w:t>
      </w:r>
      <w:r w:rsidRPr="00B82A14">
        <w:rPr>
          <w:rFonts w:cs="Arial"/>
          <w:szCs w:val="22"/>
        </w:rPr>
        <w:tab/>
        <w:t>Howard Hughes Junior Faculty Award</w:t>
      </w:r>
    </w:p>
    <w:p w14:paraId="3D4AA663"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1995</w:t>
      </w:r>
      <w:r w:rsidRPr="00B82A14">
        <w:rPr>
          <w:rFonts w:cs="Arial"/>
          <w:szCs w:val="22"/>
        </w:rPr>
        <w:tab/>
        <w:t>American Cancer Society Junior Faculty Research Award</w:t>
      </w:r>
    </w:p>
    <w:p w14:paraId="1BE895F6" w14:textId="77777777" w:rsidR="002F5D47" w:rsidRPr="00B82A14" w:rsidRDefault="002F5D47" w:rsidP="002F5D47">
      <w:pPr>
        <w:tabs>
          <w:tab w:val="right" w:pos="9900"/>
        </w:tabs>
        <w:ind w:left="1530" w:right="-86" w:hanging="1530"/>
        <w:jc w:val="both"/>
        <w:rPr>
          <w:rFonts w:cs="Arial"/>
          <w:szCs w:val="22"/>
        </w:rPr>
      </w:pPr>
      <w:r w:rsidRPr="00B82A14">
        <w:rPr>
          <w:rFonts w:cs="Arial"/>
          <w:szCs w:val="22"/>
        </w:rPr>
        <w:t>1989</w:t>
      </w:r>
      <w:r w:rsidRPr="00B82A14">
        <w:rPr>
          <w:rFonts w:cs="Arial"/>
          <w:szCs w:val="22"/>
        </w:rPr>
        <w:tab/>
        <w:t xml:space="preserve">Alexander </w:t>
      </w:r>
      <w:proofErr w:type="spellStart"/>
      <w:r w:rsidRPr="00B82A14">
        <w:rPr>
          <w:rFonts w:cs="Arial"/>
          <w:szCs w:val="22"/>
        </w:rPr>
        <w:t>Hollaender</w:t>
      </w:r>
      <w:proofErr w:type="spellEnd"/>
      <w:r w:rsidRPr="00B82A14">
        <w:rPr>
          <w:rFonts w:cs="Arial"/>
          <w:szCs w:val="22"/>
        </w:rPr>
        <w:t xml:space="preserve"> Fellowship Awardee</w:t>
      </w:r>
    </w:p>
    <w:p w14:paraId="54BEC659" w14:textId="684E4C64" w:rsidR="00E6057D" w:rsidRPr="00B82A14" w:rsidRDefault="00E6057D" w:rsidP="00F71FB9">
      <w:pPr>
        <w:tabs>
          <w:tab w:val="right" w:pos="9900"/>
        </w:tabs>
        <w:ind w:left="1530" w:right="-86" w:hanging="1530"/>
        <w:jc w:val="both"/>
        <w:rPr>
          <w:rFonts w:cs="Arial"/>
          <w:szCs w:val="22"/>
        </w:rPr>
      </w:pPr>
      <w:r w:rsidRPr="00B82A14">
        <w:rPr>
          <w:rFonts w:cs="Arial"/>
          <w:szCs w:val="22"/>
        </w:rPr>
        <w:t>1986–1989</w:t>
      </w:r>
      <w:r w:rsidRPr="00B82A14">
        <w:rPr>
          <w:rFonts w:cs="Arial"/>
          <w:szCs w:val="22"/>
        </w:rPr>
        <w:tab/>
        <w:t>NIH Predoctoral Trainee</w:t>
      </w:r>
    </w:p>
    <w:p w14:paraId="65EA6377" w14:textId="06B6B71A" w:rsidR="004D3D30" w:rsidRPr="00B82A14" w:rsidRDefault="004D3D30" w:rsidP="00512A54">
      <w:pPr>
        <w:spacing w:before="100"/>
        <w:outlineLvl w:val="0"/>
        <w:rPr>
          <w:rFonts w:cs="Arial"/>
          <w:b/>
          <w:szCs w:val="22"/>
        </w:rPr>
      </w:pPr>
      <w:r w:rsidRPr="00B82A14">
        <w:rPr>
          <w:rFonts w:cs="Arial"/>
          <w:b/>
          <w:szCs w:val="22"/>
        </w:rPr>
        <w:t>C. Contributions to Science</w:t>
      </w:r>
    </w:p>
    <w:p w14:paraId="45A05D46" w14:textId="15735187" w:rsidR="00C5730E" w:rsidRPr="00C5730E" w:rsidRDefault="0003081A" w:rsidP="00064C01">
      <w:pPr>
        <w:numPr>
          <w:ilvl w:val="0"/>
          <w:numId w:val="29"/>
        </w:numPr>
        <w:spacing w:before="40"/>
        <w:jc w:val="both"/>
        <w:rPr>
          <w:rFonts w:cs="Arial"/>
          <w:color w:val="000000" w:themeColor="text1"/>
          <w:szCs w:val="22"/>
        </w:rPr>
      </w:pPr>
      <w:r w:rsidRPr="00C5730E">
        <w:rPr>
          <w:rFonts w:cs="Arial"/>
          <w:szCs w:val="22"/>
        </w:rPr>
        <w:t xml:space="preserve">When I first came to Stanford, the role of hypoxia in therapeutic resistance was a major theme of the department. However, I thought that hypoxia had additional roles than simply reducing the efficacy of radiotherapy, and hypothesized that it could act as a selective pressure in solid tumors for the expansion of tumor cells with diminished apoptotic potential. For example, in the well studied model of colorectal cancer, </w:t>
      </w:r>
      <w:r w:rsidR="00CB1A20" w:rsidRPr="00C5730E">
        <w:rPr>
          <w:rFonts w:cs="Arial"/>
          <w:szCs w:val="22"/>
        </w:rPr>
        <w:t xml:space="preserve">tumor cells with </w:t>
      </w:r>
      <w:r w:rsidRPr="00C5730E">
        <w:rPr>
          <w:rFonts w:cs="Arial"/>
          <w:szCs w:val="22"/>
        </w:rPr>
        <w:t xml:space="preserve">mutations in the p53 tumor suppressor gene occur and exist in small numbers compared to their wild-type </w:t>
      </w:r>
      <w:r w:rsidR="00CB1A20" w:rsidRPr="00C5730E">
        <w:rPr>
          <w:rFonts w:cs="Arial"/>
          <w:szCs w:val="22"/>
        </w:rPr>
        <w:t xml:space="preserve">p53 </w:t>
      </w:r>
      <w:r w:rsidRPr="00C5730E">
        <w:rPr>
          <w:rFonts w:cs="Arial"/>
          <w:szCs w:val="22"/>
        </w:rPr>
        <w:t xml:space="preserve">counterparts. </w:t>
      </w:r>
      <w:r w:rsidR="00CB1A20" w:rsidRPr="00C5730E">
        <w:rPr>
          <w:rFonts w:cs="Arial"/>
          <w:szCs w:val="22"/>
        </w:rPr>
        <w:t xml:space="preserve">Hypoxia fit the necessary criteria for a selective stress, as it induces apoptosis in a p53 dependent manner, and the magnitude of this selection would be large enough to enhance the probability for mutant p53 tumor cells to become the predominant genotype in the tumor.  </w:t>
      </w:r>
      <w:r w:rsidR="0079322F" w:rsidRPr="00C5730E">
        <w:rPr>
          <w:rFonts w:cs="Arial"/>
          <w:szCs w:val="22"/>
        </w:rPr>
        <w:t>My early studies</w:t>
      </w:r>
      <w:r w:rsidRPr="00C5730E">
        <w:rPr>
          <w:rFonts w:cs="Arial"/>
          <w:szCs w:val="22"/>
        </w:rPr>
        <w:t xml:space="preserve"> focused on the role of hypoxia-</w:t>
      </w:r>
      <w:r w:rsidR="0079322F" w:rsidRPr="00C5730E">
        <w:rPr>
          <w:rFonts w:cs="Arial"/>
          <w:szCs w:val="22"/>
        </w:rPr>
        <w:t xml:space="preserve">induced apoptosis. </w:t>
      </w:r>
      <w:r w:rsidR="00CB1A20" w:rsidRPr="00C5730E">
        <w:rPr>
          <w:rFonts w:cs="Arial"/>
          <w:szCs w:val="22"/>
        </w:rPr>
        <w:t>In addition, we also demonstrated the mechanism of hypoxia-induced apoptosis was distinct from DNA damage induced apoptosis and regulated a very distinct set of target genes. These studies have important therapeutic implicat</w:t>
      </w:r>
      <w:r w:rsidR="00104C44" w:rsidRPr="00C5730E">
        <w:rPr>
          <w:rFonts w:cs="Arial"/>
          <w:szCs w:val="22"/>
        </w:rPr>
        <w:t>i</w:t>
      </w:r>
      <w:r w:rsidR="00CB1A20" w:rsidRPr="00C5730E">
        <w:rPr>
          <w:rFonts w:cs="Arial"/>
          <w:szCs w:val="22"/>
        </w:rPr>
        <w:t xml:space="preserve">ons, because </w:t>
      </w:r>
      <w:r w:rsidR="007F6136" w:rsidRPr="00C5730E">
        <w:rPr>
          <w:rFonts w:cs="Arial"/>
          <w:szCs w:val="22"/>
        </w:rPr>
        <w:t xml:space="preserve">hypoxia-mediated selection of cells with diminished apoptotic potential could also explain </w:t>
      </w:r>
      <w:r w:rsidR="00104C44" w:rsidRPr="00C5730E">
        <w:rPr>
          <w:rFonts w:cs="Arial"/>
          <w:szCs w:val="22"/>
        </w:rPr>
        <w:t>the in part the poor response of</w:t>
      </w:r>
      <w:r w:rsidR="007F6136" w:rsidRPr="00C5730E">
        <w:rPr>
          <w:rFonts w:cs="Arial"/>
          <w:szCs w:val="22"/>
        </w:rPr>
        <w:t xml:space="preserve"> solid tumors to therapy. </w:t>
      </w:r>
      <w:r w:rsidR="00104C44" w:rsidRPr="00C5730E">
        <w:rPr>
          <w:rFonts w:cs="Arial"/>
          <w:szCs w:val="22"/>
        </w:rPr>
        <w:t xml:space="preserve">These studies </w:t>
      </w:r>
      <w:r w:rsidR="00C10C0F" w:rsidRPr="00C5730E">
        <w:rPr>
          <w:rFonts w:cs="Arial"/>
          <w:szCs w:val="22"/>
        </w:rPr>
        <w:t xml:space="preserve">have </w:t>
      </w:r>
      <w:r w:rsidR="00104C44" w:rsidRPr="00C5730E">
        <w:rPr>
          <w:rFonts w:cs="Arial"/>
          <w:szCs w:val="22"/>
        </w:rPr>
        <w:t xml:space="preserve">stimulated immense interest in understanding how hypoxia influenced the survival and malignant progression of tumor cells. </w:t>
      </w:r>
    </w:p>
    <w:p w14:paraId="70A9CE12" w14:textId="342725F7" w:rsidR="00104C44" w:rsidRPr="00C5730E" w:rsidRDefault="00B82A14" w:rsidP="00E36CAE">
      <w:pPr>
        <w:spacing w:before="60"/>
        <w:ind w:left="907" w:right="187" w:hanging="360"/>
        <w:jc w:val="both"/>
        <w:rPr>
          <w:rFonts w:cs="Arial"/>
          <w:color w:val="000000" w:themeColor="text1"/>
          <w:szCs w:val="22"/>
        </w:rPr>
      </w:pPr>
      <w:r w:rsidRPr="00C5730E">
        <w:rPr>
          <w:rFonts w:cs="Arial"/>
          <w:color w:val="000000" w:themeColor="text1"/>
          <w:szCs w:val="22"/>
        </w:rPr>
        <w:t>a.</w:t>
      </w:r>
      <w:r w:rsidRPr="00C5730E">
        <w:rPr>
          <w:rFonts w:cs="Arial"/>
          <w:color w:val="000000" w:themeColor="text1"/>
          <w:szCs w:val="22"/>
        </w:rPr>
        <w:tab/>
      </w:r>
      <w:r w:rsidR="00104C44" w:rsidRPr="00C5730E">
        <w:rPr>
          <w:rFonts w:cs="Arial"/>
          <w:color w:val="000000" w:themeColor="text1"/>
          <w:szCs w:val="22"/>
        </w:rPr>
        <w:t xml:space="preserve">Graeber, T.G., Peterson, J.F., Tsai, M., Monica K., Fornace, Jr., A.J. and </w:t>
      </w:r>
      <w:r w:rsidR="00104C44" w:rsidRPr="00C5730E">
        <w:rPr>
          <w:rFonts w:cs="Arial"/>
          <w:b/>
          <w:color w:val="000000" w:themeColor="text1"/>
          <w:szCs w:val="22"/>
        </w:rPr>
        <w:t>Giaccia, A.J.</w:t>
      </w:r>
      <w:r w:rsidR="00104C44" w:rsidRPr="00C5730E">
        <w:rPr>
          <w:rFonts w:cs="Arial"/>
          <w:color w:val="000000" w:themeColor="text1"/>
          <w:szCs w:val="22"/>
        </w:rPr>
        <w:t xml:space="preserve">  Hypoxia induces the accumulation of </w:t>
      </w:r>
      <w:r w:rsidR="00104C44" w:rsidRPr="00C5730E">
        <w:rPr>
          <w:rFonts w:cs="Arial"/>
          <w:i/>
          <w:color w:val="000000" w:themeColor="text1"/>
          <w:szCs w:val="22"/>
        </w:rPr>
        <w:t>p53</w:t>
      </w:r>
      <w:r w:rsidR="00104C44" w:rsidRPr="00C5730E">
        <w:rPr>
          <w:rFonts w:cs="Arial"/>
          <w:color w:val="000000" w:themeColor="text1"/>
          <w:szCs w:val="22"/>
        </w:rPr>
        <w:t xml:space="preserve"> protein, but the activation of a G</w:t>
      </w:r>
      <w:r w:rsidR="00104C44" w:rsidRPr="00C5730E">
        <w:rPr>
          <w:rFonts w:cs="Arial"/>
          <w:color w:val="000000" w:themeColor="text1"/>
          <w:szCs w:val="22"/>
          <w:vertAlign w:val="subscript"/>
        </w:rPr>
        <w:t>1</w:t>
      </w:r>
      <w:r w:rsidR="00104C44" w:rsidRPr="00C5730E">
        <w:rPr>
          <w:rFonts w:cs="Arial"/>
          <w:color w:val="000000" w:themeColor="text1"/>
          <w:szCs w:val="22"/>
        </w:rPr>
        <w:t>-phase checkpoint by low oxygen conditions is independent of p53 status.  Mol Cell Biol 14:6264-6277, 1994 (PMID: 8065358).</w:t>
      </w:r>
    </w:p>
    <w:p w14:paraId="3D5377A9" w14:textId="77777777" w:rsidR="009070EF" w:rsidRPr="00B82A14" w:rsidRDefault="00B82A14" w:rsidP="00DE74D1">
      <w:pPr>
        <w:pStyle w:val="ListParagraph"/>
        <w:spacing w:before="20"/>
        <w:ind w:left="907" w:right="187" w:hanging="360"/>
        <w:jc w:val="both"/>
        <w:rPr>
          <w:rFonts w:cs="Arial"/>
          <w:color w:val="000000" w:themeColor="text1"/>
          <w:szCs w:val="22"/>
        </w:rPr>
      </w:pPr>
      <w:r>
        <w:rPr>
          <w:rFonts w:cs="Arial"/>
          <w:color w:val="000000" w:themeColor="text1"/>
          <w:szCs w:val="22"/>
        </w:rPr>
        <w:t>b.</w:t>
      </w:r>
      <w:r>
        <w:rPr>
          <w:rFonts w:cs="Arial"/>
          <w:color w:val="000000" w:themeColor="text1"/>
          <w:szCs w:val="22"/>
        </w:rPr>
        <w:tab/>
      </w:r>
      <w:r w:rsidR="009070EF" w:rsidRPr="00B82A14">
        <w:rPr>
          <w:rFonts w:cs="Arial"/>
          <w:color w:val="000000" w:themeColor="text1"/>
          <w:szCs w:val="22"/>
        </w:rPr>
        <w:t xml:space="preserve">Graeber, T.G., Osmanian, C., Jacks, T., Houseman, D., Koch, C.J., Lowe, S.W. and </w:t>
      </w:r>
      <w:r w:rsidR="009070EF" w:rsidRPr="00B82A14">
        <w:rPr>
          <w:rFonts w:cs="Arial"/>
          <w:b/>
          <w:color w:val="000000" w:themeColor="text1"/>
          <w:szCs w:val="22"/>
        </w:rPr>
        <w:t>Giaccia, A.J.</w:t>
      </w:r>
      <w:r w:rsidR="009070EF" w:rsidRPr="00B82A14">
        <w:rPr>
          <w:rFonts w:cs="Arial"/>
          <w:color w:val="000000" w:themeColor="text1"/>
          <w:szCs w:val="22"/>
        </w:rPr>
        <w:t xml:space="preserve">  Hypoxia-mediated selection of cells with diminished apoptotic potential in solid tumours.  Nature 379:88-91, 1996 (PMID: 8538748).</w:t>
      </w:r>
    </w:p>
    <w:p w14:paraId="46225042" w14:textId="77777777" w:rsidR="00104C44" w:rsidRPr="00B82A14" w:rsidRDefault="00B82A14" w:rsidP="00DE74D1">
      <w:pPr>
        <w:pStyle w:val="ListParagraph"/>
        <w:spacing w:before="20"/>
        <w:ind w:left="907" w:right="187" w:hanging="360"/>
        <w:jc w:val="both"/>
        <w:rPr>
          <w:rFonts w:cs="Arial"/>
          <w:color w:val="000000" w:themeColor="text1"/>
          <w:szCs w:val="22"/>
        </w:rPr>
      </w:pPr>
      <w:r>
        <w:rPr>
          <w:rFonts w:cs="Arial"/>
          <w:color w:val="000000" w:themeColor="text1"/>
          <w:szCs w:val="22"/>
        </w:rPr>
        <w:t>c.</w:t>
      </w:r>
      <w:r>
        <w:rPr>
          <w:rFonts w:cs="Arial"/>
          <w:color w:val="000000" w:themeColor="text1"/>
          <w:szCs w:val="22"/>
        </w:rPr>
        <w:tab/>
      </w:r>
      <w:r w:rsidR="009070EF" w:rsidRPr="00B82A14">
        <w:rPr>
          <w:rFonts w:cs="Arial"/>
          <w:color w:val="000000" w:themeColor="text1"/>
          <w:szCs w:val="22"/>
        </w:rPr>
        <w:t xml:space="preserve">Zundel, W. and </w:t>
      </w:r>
      <w:r w:rsidR="009070EF" w:rsidRPr="00B82A14">
        <w:rPr>
          <w:rFonts w:cs="Arial"/>
          <w:b/>
          <w:color w:val="000000" w:themeColor="text1"/>
          <w:szCs w:val="22"/>
        </w:rPr>
        <w:t>Giaccia, A.J.</w:t>
      </w:r>
      <w:r w:rsidR="009070EF" w:rsidRPr="00B82A14">
        <w:rPr>
          <w:rFonts w:cs="Arial"/>
          <w:color w:val="000000" w:themeColor="text1"/>
          <w:szCs w:val="22"/>
        </w:rPr>
        <w:t xml:space="preserve">  Inhibition of the anti-apoptotic PI(3)K/Akt/Bad pathway by stress.  Genes Dev 12:1941-1946, 1998 (PMID: 9649498).</w:t>
      </w:r>
    </w:p>
    <w:p w14:paraId="2D6DC0DB" w14:textId="77777777" w:rsidR="00104C44" w:rsidRPr="00B82A14" w:rsidRDefault="00B82A14" w:rsidP="00DE74D1">
      <w:pPr>
        <w:pStyle w:val="ListParagraph"/>
        <w:spacing w:before="20"/>
        <w:ind w:left="907" w:right="187" w:hanging="360"/>
        <w:jc w:val="both"/>
        <w:rPr>
          <w:rFonts w:cs="Arial"/>
          <w:color w:val="000000" w:themeColor="text1"/>
          <w:szCs w:val="22"/>
        </w:rPr>
      </w:pPr>
      <w:r>
        <w:rPr>
          <w:rFonts w:cs="Arial"/>
          <w:color w:val="000000" w:themeColor="text1"/>
          <w:szCs w:val="22"/>
        </w:rPr>
        <w:t>d.</w:t>
      </w:r>
      <w:r>
        <w:rPr>
          <w:rFonts w:cs="Arial"/>
          <w:color w:val="000000" w:themeColor="text1"/>
          <w:szCs w:val="22"/>
        </w:rPr>
        <w:tab/>
      </w:r>
      <w:r w:rsidR="00A94902" w:rsidRPr="007A4A20">
        <w:rPr>
          <w:color w:val="000000" w:themeColor="text1"/>
          <w:szCs w:val="22"/>
        </w:rPr>
        <w:t xml:space="preserve">Hammond, E., Mandell, D.J., Salim, A., Krieg, A.J., Johnson, T.M., Shirazi, H., Attardi, L.D. and </w:t>
      </w:r>
      <w:r w:rsidR="00A94902" w:rsidRPr="007A4A20">
        <w:rPr>
          <w:b/>
          <w:color w:val="000000" w:themeColor="text1"/>
          <w:szCs w:val="22"/>
        </w:rPr>
        <w:t>Giaccia, A.J.</w:t>
      </w:r>
      <w:r w:rsidR="00A94902" w:rsidRPr="007A4A20">
        <w:rPr>
          <w:color w:val="000000" w:themeColor="text1"/>
          <w:szCs w:val="22"/>
        </w:rPr>
        <w:t xml:space="preserve">  Genome wide analysis of p53 under hypoxic conditions.  Mol Cell Biol 26:3492-3504, 2006 (</w:t>
      </w:r>
      <w:r w:rsidR="00A94902" w:rsidRPr="007A4A20">
        <w:rPr>
          <w:rFonts w:cs="Lucida Grande"/>
          <w:color w:val="000000" w:themeColor="text1"/>
          <w:szCs w:val="22"/>
        </w:rPr>
        <w:t>PMCID: PMC1447427</w:t>
      </w:r>
      <w:r w:rsidR="00A94902" w:rsidRPr="007A4A20">
        <w:rPr>
          <w:color w:val="000000" w:themeColor="text1"/>
          <w:szCs w:val="22"/>
        </w:rPr>
        <w:t>).</w:t>
      </w:r>
    </w:p>
    <w:p w14:paraId="679738FD" w14:textId="375342EC" w:rsidR="00F16F9C" w:rsidRDefault="00017183" w:rsidP="00F16F9C">
      <w:pPr>
        <w:numPr>
          <w:ilvl w:val="0"/>
          <w:numId w:val="29"/>
        </w:numPr>
        <w:spacing w:before="100"/>
        <w:jc w:val="both"/>
        <w:rPr>
          <w:rFonts w:cs="Arial"/>
          <w:szCs w:val="22"/>
          <w:u w:val="single"/>
        </w:rPr>
      </w:pPr>
      <w:r w:rsidRPr="00B82A14">
        <w:rPr>
          <w:rFonts w:cs="Arial"/>
          <w:szCs w:val="22"/>
        </w:rPr>
        <w:t xml:space="preserve">Hypoxia Induced </w:t>
      </w:r>
      <w:r w:rsidRPr="00B82A14">
        <w:rPr>
          <w:rFonts w:cs="Arial"/>
          <w:szCs w:val="22"/>
          <w:u w:val="single"/>
        </w:rPr>
        <w:t xml:space="preserve">Metastasis and </w:t>
      </w:r>
      <w:r w:rsidR="006628E7" w:rsidRPr="00B82A14">
        <w:rPr>
          <w:rFonts w:cs="Arial"/>
          <w:szCs w:val="22"/>
          <w:u w:val="single"/>
        </w:rPr>
        <w:t xml:space="preserve">the Premetastatic Niche. </w:t>
      </w:r>
      <w:r w:rsidR="006628E7" w:rsidRPr="00B82A14">
        <w:rPr>
          <w:rFonts w:cs="Arial"/>
          <w:szCs w:val="22"/>
        </w:rPr>
        <w:t xml:space="preserve">Niches are defined as particular regions within a defined environment where specialized inhabitants reside. The key points in this definition are “environment” and “specialized inhabitants”. We have accumulated a significant amount of data that implicates an important role for hypoxia in recruiting bone marrow-derived tumor cells through the modulation of the extracellular matrix. Previous studies have suggested that </w:t>
      </w:r>
      <w:r w:rsidR="006628E7" w:rsidRPr="00B82A14">
        <w:rPr>
          <w:rFonts w:cs="Arial"/>
          <w:bCs/>
          <w:szCs w:val="22"/>
        </w:rPr>
        <w:t xml:space="preserve">tumor cell metastasis is facilitated by formation of “pre-metastatic niches” in destination organs, comprised of bone marrow-derived cells (BMDCs) such as CD11b+ myeloid cells recruited by poorly defined mechanisms.  We found that lysyl oxidase (LOX) that is secreted by hypoxic tumor cells is essential for BMDC recruitment at pre-metastatic sites. LOX secreted by hypoxic breast tumor cells accumulates at pre-metastatic sites, cross-links collagen-IV in the basement membrane, and is essential for CD11b+ myeloid cell recruitment.  Our findings demonstrate a critical role for hypoxia in formation of the pre-metastatic niche and metastatic disease. </w:t>
      </w:r>
      <w:r w:rsidR="00C10C0F">
        <w:rPr>
          <w:rFonts w:cs="Arial"/>
          <w:bCs/>
          <w:szCs w:val="22"/>
        </w:rPr>
        <w:t>These studies were sufficient to stimulate</w:t>
      </w:r>
      <w:r w:rsidR="006628E7" w:rsidRPr="00B82A14">
        <w:rPr>
          <w:rFonts w:cs="Arial"/>
          <w:bCs/>
          <w:szCs w:val="22"/>
        </w:rPr>
        <w:t xml:space="preserve"> </w:t>
      </w:r>
      <w:r w:rsidR="00C10C0F">
        <w:rPr>
          <w:rFonts w:cs="Arial"/>
          <w:bCs/>
          <w:szCs w:val="22"/>
        </w:rPr>
        <w:t>Phase 1 and 2 clinical trials examining the role of LOX inhibition clinically. More recently, we have identified the receptor tyrosine kinase AXL a</w:t>
      </w:r>
      <w:r w:rsidR="00AB072B">
        <w:rPr>
          <w:rFonts w:cs="Arial"/>
          <w:bCs/>
          <w:szCs w:val="22"/>
        </w:rPr>
        <w:t>s a critical modulator of invasi</w:t>
      </w:r>
      <w:r w:rsidR="00C10C0F">
        <w:rPr>
          <w:rFonts w:cs="Arial"/>
          <w:bCs/>
          <w:szCs w:val="22"/>
        </w:rPr>
        <w:t xml:space="preserve">on, metastasis and the desmoplastic response of tumors. Although we have not </w:t>
      </w:r>
      <w:r w:rsidR="00AB072B">
        <w:rPr>
          <w:rFonts w:cs="Arial"/>
          <w:bCs/>
          <w:szCs w:val="22"/>
        </w:rPr>
        <w:t>yet published these findings</w:t>
      </w:r>
      <w:r w:rsidR="00C10C0F">
        <w:rPr>
          <w:rFonts w:cs="Arial"/>
          <w:bCs/>
          <w:szCs w:val="22"/>
        </w:rPr>
        <w:t xml:space="preserve">, </w:t>
      </w:r>
      <w:r w:rsidR="00AB072B">
        <w:rPr>
          <w:rFonts w:cs="Arial"/>
          <w:bCs/>
          <w:szCs w:val="22"/>
        </w:rPr>
        <w:t xml:space="preserve">it appears that </w:t>
      </w:r>
      <w:r w:rsidR="00C10C0F">
        <w:rPr>
          <w:rFonts w:cs="Arial"/>
          <w:bCs/>
          <w:szCs w:val="22"/>
        </w:rPr>
        <w:t xml:space="preserve">AXL inhibition inhibits and reverses desmoplasia and fibrosis both in pancreatic tumor models as well as patient biopsies from </w:t>
      </w:r>
      <w:r w:rsidR="00C107B0">
        <w:rPr>
          <w:rFonts w:cs="Arial"/>
          <w:bCs/>
          <w:szCs w:val="22"/>
        </w:rPr>
        <w:t>idiopathic</w:t>
      </w:r>
      <w:r w:rsidR="00C10C0F">
        <w:rPr>
          <w:rFonts w:cs="Arial"/>
          <w:bCs/>
          <w:szCs w:val="22"/>
        </w:rPr>
        <w:t xml:space="preserve"> pulmonary fibrosis. We anticipate that clinical trials could be started on our clinical candidate in two years. </w:t>
      </w:r>
    </w:p>
    <w:p w14:paraId="47AD9FCF" w14:textId="49225F81" w:rsidR="00F16F9C" w:rsidRPr="00F16F9C" w:rsidRDefault="00F16F9C" w:rsidP="009A553E">
      <w:pPr>
        <w:spacing w:before="100"/>
        <w:ind w:left="900" w:right="180" w:hanging="360"/>
        <w:jc w:val="both"/>
        <w:rPr>
          <w:rFonts w:cs="Arial"/>
          <w:szCs w:val="22"/>
          <w:highlight w:val="green"/>
        </w:rPr>
      </w:pPr>
      <w:r>
        <w:rPr>
          <w:rFonts w:cs="Arial"/>
          <w:color w:val="000000" w:themeColor="text1"/>
          <w:szCs w:val="22"/>
        </w:rPr>
        <w:t>a.</w:t>
      </w:r>
      <w:r>
        <w:rPr>
          <w:rFonts w:cs="Arial"/>
          <w:color w:val="000000" w:themeColor="text1"/>
          <w:szCs w:val="22"/>
        </w:rPr>
        <w:tab/>
      </w:r>
      <w:proofErr w:type="spellStart"/>
      <w:r w:rsidRPr="00F16F9C">
        <w:rPr>
          <w:rFonts w:cs="Arial"/>
          <w:color w:val="000000" w:themeColor="text1"/>
          <w:szCs w:val="22"/>
        </w:rPr>
        <w:t>Erler</w:t>
      </w:r>
      <w:proofErr w:type="spellEnd"/>
      <w:r w:rsidRPr="00F16F9C">
        <w:rPr>
          <w:rFonts w:cs="Arial"/>
          <w:color w:val="000000" w:themeColor="text1"/>
          <w:szCs w:val="22"/>
        </w:rPr>
        <w:t xml:space="preserve">, J.T., </w:t>
      </w:r>
      <w:proofErr w:type="spellStart"/>
      <w:r w:rsidRPr="00F16F9C">
        <w:rPr>
          <w:rFonts w:cs="Arial"/>
          <w:color w:val="000000" w:themeColor="text1"/>
          <w:szCs w:val="22"/>
        </w:rPr>
        <w:t>Bennewith</w:t>
      </w:r>
      <w:proofErr w:type="spellEnd"/>
      <w:r w:rsidRPr="00F16F9C">
        <w:rPr>
          <w:rFonts w:cs="Arial"/>
          <w:color w:val="000000" w:themeColor="text1"/>
          <w:szCs w:val="22"/>
        </w:rPr>
        <w:t xml:space="preserve">, K.L., </w:t>
      </w:r>
      <w:proofErr w:type="spellStart"/>
      <w:r w:rsidRPr="00F16F9C">
        <w:rPr>
          <w:rFonts w:cs="Arial"/>
          <w:color w:val="000000" w:themeColor="text1"/>
          <w:szCs w:val="22"/>
        </w:rPr>
        <w:t>Nicolau</w:t>
      </w:r>
      <w:proofErr w:type="spellEnd"/>
      <w:r w:rsidRPr="00F16F9C">
        <w:rPr>
          <w:rFonts w:cs="Arial"/>
          <w:color w:val="000000" w:themeColor="text1"/>
          <w:szCs w:val="22"/>
        </w:rPr>
        <w:t xml:space="preserve">, M., </w:t>
      </w:r>
      <w:proofErr w:type="spellStart"/>
      <w:r w:rsidRPr="00F16F9C">
        <w:rPr>
          <w:rFonts w:cs="Arial"/>
          <w:color w:val="000000" w:themeColor="text1"/>
          <w:szCs w:val="22"/>
        </w:rPr>
        <w:t>Dornhoefer</w:t>
      </w:r>
      <w:proofErr w:type="spellEnd"/>
      <w:r w:rsidRPr="00F16F9C">
        <w:rPr>
          <w:rFonts w:cs="Arial"/>
          <w:color w:val="000000" w:themeColor="text1"/>
          <w:szCs w:val="22"/>
        </w:rPr>
        <w:t xml:space="preserve">, N., Kong, C., Le, Q-T., Chi, J-T.A., Jeffrey, S.J. and </w:t>
      </w:r>
      <w:r w:rsidRPr="00F16F9C">
        <w:rPr>
          <w:rFonts w:cs="Arial"/>
          <w:b/>
          <w:color w:val="000000" w:themeColor="text1"/>
          <w:szCs w:val="22"/>
        </w:rPr>
        <w:t xml:space="preserve">Giaccia, A.J. </w:t>
      </w:r>
      <w:r w:rsidRPr="00F16F9C">
        <w:rPr>
          <w:rFonts w:cs="Arial"/>
          <w:color w:val="000000" w:themeColor="text1"/>
          <w:szCs w:val="22"/>
        </w:rPr>
        <w:t xml:space="preserve"> </w:t>
      </w:r>
      <w:proofErr w:type="spellStart"/>
      <w:r w:rsidRPr="00F16F9C">
        <w:rPr>
          <w:rFonts w:cs="Arial"/>
          <w:color w:val="000000" w:themeColor="text1"/>
          <w:szCs w:val="22"/>
        </w:rPr>
        <w:t>Lysyl</w:t>
      </w:r>
      <w:proofErr w:type="spellEnd"/>
      <w:r w:rsidRPr="00F16F9C">
        <w:rPr>
          <w:rFonts w:cs="Arial"/>
          <w:color w:val="000000" w:themeColor="text1"/>
          <w:szCs w:val="22"/>
        </w:rPr>
        <w:t xml:space="preserve"> oxidase is essential for hypoxia-induced metastasis.  Nature 440:1222-1226, 2006 (PMID: 16642001).</w:t>
      </w:r>
    </w:p>
    <w:p w14:paraId="6AD8B00C" w14:textId="77777777" w:rsidR="00F16F9C" w:rsidRPr="00F16F9C" w:rsidRDefault="00F16F9C" w:rsidP="009A553E">
      <w:pPr>
        <w:pStyle w:val="ListParagraph"/>
        <w:spacing w:before="20"/>
        <w:ind w:left="907" w:right="187" w:hanging="360"/>
        <w:jc w:val="both"/>
        <w:rPr>
          <w:color w:val="000000" w:themeColor="text1"/>
          <w:szCs w:val="22"/>
        </w:rPr>
      </w:pPr>
      <w:r w:rsidRPr="00F16F9C">
        <w:rPr>
          <w:color w:val="000000" w:themeColor="text1"/>
          <w:szCs w:val="22"/>
        </w:rPr>
        <w:t>b.</w:t>
      </w:r>
      <w:r w:rsidRPr="00F16F9C">
        <w:rPr>
          <w:color w:val="000000" w:themeColor="text1"/>
          <w:szCs w:val="22"/>
        </w:rPr>
        <w:tab/>
      </w:r>
      <w:proofErr w:type="spellStart"/>
      <w:r w:rsidRPr="00F16F9C">
        <w:rPr>
          <w:color w:val="000000" w:themeColor="text1"/>
          <w:szCs w:val="22"/>
        </w:rPr>
        <w:t>Kariolis</w:t>
      </w:r>
      <w:proofErr w:type="spellEnd"/>
      <w:r w:rsidRPr="00F16F9C">
        <w:rPr>
          <w:color w:val="000000" w:themeColor="text1"/>
          <w:szCs w:val="22"/>
        </w:rPr>
        <w:t xml:space="preserve">, M.S., Miao, Y.R., Jones II, D.S., </w:t>
      </w:r>
      <w:proofErr w:type="spellStart"/>
      <w:r w:rsidRPr="00F16F9C">
        <w:rPr>
          <w:color w:val="000000" w:themeColor="text1"/>
          <w:szCs w:val="22"/>
        </w:rPr>
        <w:t>Kapur</w:t>
      </w:r>
      <w:proofErr w:type="spellEnd"/>
      <w:r w:rsidRPr="00F16F9C">
        <w:rPr>
          <w:color w:val="000000" w:themeColor="text1"/>
          <w:szCs w:val="22"/>
        </w:rPr>
        <w:t xml:space="preserve">, S., Matthews, I.I., </w:t>
      </w:r>
      <w:r w:rsidRPr="00F16F9C">
        <w:rPr>
          <w:b/>
          <w:color w:val="000000" w:themeColor="text1"/>
          <w:szCs w:val="22"/>
        </w:rPr>
        <w:t>Giaccia, A.J.,</w:t>
      </w:r>
      <w:r w:rsidRPr="00F16F9C">
        <w:rPr>
          <w:color w:val="000000" w:themeColor="text1"/>
          <w:szCs w:val="22"/>
        </w:rPr>
        <w:t xml:space="preserve"> and Cochran, J.R. An engineered Axl “decoy receptor’ effectively silences the Gas6/Axl signaling axis. Nat Chem Biol 10:977-983</w:t>
      </w:r>
      <w:r w:rsidRPr="00F16F9C">
        <w:rPr>
          <w:rFonts w:cs="Arial"/>
          <w:color w:val="262626"/>
          <w:szCs w:val="22"/>
        </w:rPr>
        <w:t>, 2014</w:t>
      </w:r>
      <w:r w:rsidRPr="00F16F9C">
        <w:rPr>
          <w:color w:val="000000" w:themeColor="text1"/>
          <w:szCs w:val="22"/>
        </w:rPr>
        <w:t xml:space="preserve"> (</w:t>
      </w:r>
      <w:r w:rsidRPr="00F16F9C">
        <w:rPr>
          <w:rFonts w:cs="Arial"/>
          <w:color w:val="000000" w:themeColor="text1"/>
          <w:szCs w:val="22"/>
        </w:rPr>
        <w:t xml:space="preserve">PMCID: </w:t>
      </w:r>
      <w:r w:rsidRPr="00F16F9C">
        <w:rPr>
          <w:rFonts w:cs="Arial"/>
          <w:color w:val="000000" w:themeColor="text1"/>
          <w:szCs w:val="22"/>
          <w:u w:color="243778"/>
        </w:rPr>
        <w:t>PMC4372605</w:t>
      </w:r>
      <w:r w:rsidRPr="00F16F9C">
        <w:rPr>
          <w:color w:val="000000" w:themeColor="text1"/>
          <w:szCs w:val="22"/>
        </w:rPr>
        <w:t>).</w:t>
      </w:r>
    </w:p>
    <w:p w14:paraId="15E6B320" w14:textId="77777777" w:rsidR="00F16F9C" w:rsidRPr="00F16F9C" w:rsidRDefault="00F16F9C" w:rsidP="009A553E">
      <w:pPr>
        <w:pStyle w:val="ListParagraph"/>
        <w:spacing w:before="20"/>
        <w:ind w:left="907" w:right="187" w:hanging="360"/>
        <w:jc w:val="both"/>
        <w:rPr>
          <w:color w:val="000000" w:themeColor="text1"/>
          <w:szCs w:val="22"/>
        </w:rPr>
      </w:pPr>
      <w:r w:rsidRPr="00F16F9C">
        <w:rPr>
          <w:rFonts w:cs="Arial"/>
          <w:color w:val="000000" w:themeColor="text1"/>
          <w:szCs w:val="22"/>
        </w:rPr>
        <w:t xml:space="preserve">c. </w:t>
      </w:r>
      <w:r w:rsidRPr="00F16F9C">
        <w:rPr>
          <w:rFonts w:cs="Arial"/>
          <w:color w:val="000000" w:themeColor="text1"/>
          <w:szCs w:val="22"/>
        </w:rPr>
        <w:tab/>
      </w:r>
      <w:proofErr w:type="spellStart"/>
      <w:r w:rsidRPr="00F16F9C">
        <w:rPr>
          <w:rFonts w:cs="Helvetica"/>
          <w:color w:val="000000" w:themeColor="text1"/>
          <w:szCs w:val="22"/>
        </w:rPr>
        <w:t>Kariolis</w:t>
      </w:r>
      <w:proofErr w:type="spellEnd"/>
      <w:r w:rsidRPr="00F16F9C">
        <w:rPr>
          <w:rFonts w:cs="Helvetica"/>
          <w:color w:val="000000" w:themeColor="text1"/>
          <w:szCs w:val="22"/>
        </w:rPr>
        <w:t xml:space="preserve">, M.S., Miao, Y.R., Diep, A., Nash, S.E., </w:t>
      </w:r>
      <w:proofErr w:type="spellStart"/>
      <w:r w:rsidRPr="00F16F9C">
        <w:rPr>
          <w:rFonts w:cs="Helvetica"/>
          <w:color w:val="000000" w:themeColor="text1"/>
          <w:szCs w:val="22"/>
        </w:rPr>
        <w:t>Olcina</w:t>
      </w:r>
      <w:proofErr w:type="spellEnd"/>
      <w:r w:rsidRPr="00F16F9C">
        <w:rPr>
          <w:rFonts w:cs="Helvetica"/>
          <w:color w:val="000000" w:themeColor="text1"/>
          <w:szCs w:val="22"/>
        </w:rPr>
        <w:t xml:space="preserve">, M.M, Jiang, D., Jones, D.S. 2nd, </w:t>
      </w:r>
      <w:proofErr w:type="spellStart"/>
      <w:r w:rsidRPr="00F16F9C">
        <w:rPr>
          <w:rFonts w:cs="Helvetica"/>
          <w:color w:val="000000" w:themeColor="text1"/>
          <w:szCs w:val="22"/>
        </w:rPr>
        <w:t>Kapur</w:t>
      </w:r>
      <w:proofErr w:type="spellEnd"/>
      <w:r w:rsidRPr="00F16F9C">
        <w:rPr>
          <w:rFonts w:cs="Helvetica"/>
          <w:color w:val="000000" w:themeColor="text1"/>
          <w:szCs w:val="22"/>
        </w:rPr>
        <w:t xml:space="preserve">, S., Mathews, I.I., Koong, A.C., Rankin, E.B. Cochran, J.R. and </w:t>
      </w:r>
      <w:r w:rsidRPr="00F16F9C">
        <w:rPr>
          <w:rFonts w:cs="Helvetica"/>
          <w:b/>
          <w:color w:val="000000" w:themeColor="text1"/>
          <w:szCs w:val="22"/>
        </w:rPr>
        <w:t>Giaccia, A.J.</w:t>
      </w:r>
      <w:r w:rsidRPr="00F16F9C">
        <w:rPr>
          <w:rFonts w:cs="Helvetica"/>
          <w:color w:val="000000" w:themeColor="text1"/>
          <w:szCs w:val="22"/>
        </w:rPr>
        <w:t xml:space="preserve"> Inhibition of the GAS6/AXL pathway augments the efficacy of chemotherapies. J Clin Invest 127:183-198, </w:t>
      </w:r>
      <w:r w:rsidRPr="00F16F9C">
        <w:rPr>
          <w:rFonts w:cs="Arial"/>
          <w:color w:val="000000" w:themeColor="text1"/>
          <w:szCs w:val="22"/>
        </w:rPr>
        <w:t>2017 (</w:t>
      </w:r>
      <w:r w:rsidRPr="00F16F9C">
        <w:rPr>
          <w:rFonts w:cs="Arial"/>
          <w:color w:val="000000" w:themeColor="text1"/>
          <w:szCs w:val="17"/>
        </w:rPr>
        <w:t xml:space="preserve">PMCID: </w:t>
      </w:r>
      <w:r w:rsidRPr="00F16F9C">
        <w:rPr>
          <w:rFonts w:cs="Arial"/>
          <w:color w:val="000000" w:themeColor="text1"/>
          <w:szCs w:val="18"/>
          <w:shd w:val="clear" w:color="auto" w:fill="FFFFFF"/>
        </w:rPr>
        <w:t>PMC5199716</w:t>
      </w:r>
      <w:r w:rsidRPr="00F16F9C">
        <w:rPr>
          <w:rFonts w:cs="Arial"/>
          <w:color w:val="000000" w:themeColor="text1"/>
          <w:szCs w:val="22"/>
        </w:rPr>
        <w:t>).</w:t>
      </w:r>
    </w:p>
    <w:p w14:paraId="4E72825B" w14:textId="77777777" w:rsidR="00F16F9C" w:rsidRPr="00F16F9C" w:rsidRDefault="00F16F9C" w:rsidP="009A553E">
      <w:pPr>
        <w:pStyle w:val="ListParagraph"/>
        <w:spacing w:before="20"/>
        <w:ind w:left="907" w:right="187" w:hanging="360"/>
        <w:jc w:val="both"/>
        <w:rPr>
          <w:rFonts w:cs="Arial"/>
          <w:szCs w:val="22"/>
          <w:highlight w:val="green"/>
        </w:rPr>
      </w:pPr>
      <w:r w:rsidRPr="00F16F9C">
        <w:rPr>
          <w:color w:val="000000" w:themeColor="text1"/>
          <w:szCs w:val="22"/>
        </w:rPr>
        <w:t>d.</w:t>
      </w:r>
      <w:r w:rsidRPr="00F16F9C">
        <w:rPr>
          <w:color w:val="000000" w:themeColor="text1"/>
          <w:szCs w:val="22"/>
        </w:rPr>
        <w:tab/>
      </w:r>
      <w:r w:rsidRPr="00F16F9C">
        <w:rPr>
          <w:rFonts w:cs="Arial"/>
          <w:szCs w:val="22"/>
        </w:rPr>
        <w:t xml:space="preserve">Zhou, L., Liu, X.D., Sun, M., Zhang, X., German, P., Bai, S., Ding, Z., </w:t>
      </w:r>
      <w:proofErr w:type="spellStart"/>
      <w:r w:rsidRPr="00F16F9C">
        <w:rPr>
          <w:rFonts w:cs="Arial"/>
          <w:szCs w:val="22"/>
        </w:rPr>
        <w:t>Tannir</w:t>
      </w:r>
      <w:proofErr w:type="spellEnd"/>
      <w:r w:rsidRPr="00F16F9C">
        <w:rPr>
          <w:rFonts w:cs="Arial"/>
          <w:szCs w:val="22"/>
        </w:rPr>
        <w:t xml:space="preserve">, N., Wood, C.G., Matin, S.F., Karam, J.A., </w:t>
      </w:r>
      <w:proofErr w:type="spellStart"/>
      <w:r w:rsidRPr="00F16F9C">
        <w:rPr>
          <w:rFonts w:cs="Arial"/>
          <w:szCs w:val="22"/>
        </w:rPr>
        <w:t>Tamboli</w:t>
      </w:r>
      <w:proofErr w:type="spellEnd"/>
      <w:r w:rsidRPr="00F16F9C">
        <w:rPr>
          <w:rFonts w:cs="Arial"/>
          <w:szCs w:val="22"/>
        </w:rPr>
        <w:t xml:space="preserve">, P., Sircar, K., Rao, P., Rankin, E.B., Laird, D.A., Hoang, A.G., Walker, C.L., </w:t>
      </w:r>
      <w:r w:rsidRPr="00F16F9C">
        <w:rPr>
          <w:rFonts w:cs="Arial"/>
          <w:b/>
          <w:bCs/>
          <w:szCs w:val="22"/>
        </w:rPr>
        <w:t>Giaccia,</w:t>
      </w:r>
      <w:r w:rsidRPr="00F16F9C">
        <w:rPr>
          <w:rFonts w:cs="Arial"/>
          <w:b/>
          <w:szCs w:val="22"/>
        </w:rPr>
        <w:t xml:space="preserve"> A.J.</w:t>
      </w:r>
      <w:r w:rsidRPr="00F16F9C">
        <w:rPr>
          <w:rFonts w:cs="Arial"/>
          <w:szCs w:val="22"/>
        </w:rPr>
        <w:t xml:space="preserve"> and </w:t>
      </w:r>
      <w:proofErr w:type="spellStart"/>
      <w:r w:rsidRPr="00F16F9C">
        <w:rPr>
          <w:rFonts w:cs="Arial"/>
          <w:szCs w:val="22"/>
        </w:rPr>
        <w:t>Jonasch</w:t>
      </w:r>
      <w:proofErr w:type="spellEnd"/>
      <w:r w:rsidRPr="00F16F9C">
        <w:rPr>
          <w:rFonts w:cs="Arial"/>
          <w:szCs w:val="22"/>
        </w:rPr>
        <w:t xml:space="preserve">, E. </w:t>
      </w:r>
      <w:r w:rsidRPr="00F16F9C">
        <w:rPr>
          <w:rFonts w:cs="Arial"/>
          <w:bCs/>
          <w:szCs w:val="22"/>
        </w:rPr>
        <w:t xml:space="preserve">Targeting MET and AXL overcomes resistance to sunitinib therapy in renal cell carcinoma. </w:t>
      </w:r>
      <w:r w:rsidRPr="00F16F9C">
        <w:rPr>
          <w:rFonts w:cs="Arial"/>
          <w:szCs w:val="22"/>
        </w:rPr>
        <w:t xml:space="preserve">Oncogene 2015 Sep 14. </w:t>
      </w:r>
      <w:proofErr w:type="spellStart"/>
      <w:r w:rsidRPr="00F16F9C">
        <w:rPr>
          <w:rFonts w:cs="Arial"/>
          <w:szCs w:val="22"/>
        </w:rPr>
        <w:t>doi</w:t>
      </w:r>
      <w:proofErr w:type="spellEnd"/>
      <w:r w:rsidRPr="00F16F9C">
        <w:rPr>
          <w:rFonts w:cs="Arial"/>
          <w:szCs w:val="22"/>
        </w:rPr>
        <w:t>: 10.1038/onc.2015.343. [</w:t>
      </w:r>
      <w:proofErr w:type="spellStart"/>
      <w:r w:rsidRPr="00F16F9C">
        <w:rPr>
          <w:rFonts w:cs="Arial"/>
          <w:szCs w:val="22"/>
        </w:rPr>
        <w:t>Epub</w:t>
      </w:r>
      <w:proofErr w:type="spellEnd"/>
      <w:r w:rsidRPr="00F16F9C">
        <w:rPr>
          <w:rFonts w:cs="Arial"/>
          <w:szCs w:val="22"/>
        </w:rPr>
        <w:t xml:space="preserve"> ahead of print] (</w:t>
      </w:r>
      <w:r w:rsidRPr="00F16F9C">
        <w:rPr>
          <w:rFonts w:cs="Arial"/>
          <w:color w:val="454545"/>
          <w:szCs w:val="22"/>
        </w:rPr>
        <w:t>PMID: 26364599).</w:t>
      </w:r>
    </w:p>
    <w:p w14:paraId="24B6E27E" w14:textId="19DA41C0" w:rsidR="006628E7" w:rsidRPr="00B82A14" w:rsidRDefault="006628E7" w:rsidP="00E36CAE">
      <w:pPr>
        <w:numPr>
          <w:ilvl w:val="0"/>
          <w:numId w:val="29"/>
        </w:numPr>
        <w:spacing w:before="100"/>
        <w:jc w:val="both"/>
        <w:rPr>
          <w:rFonts w:cs="Arial"/>
          <w:szCs w:val="22"/>
        </w:rPr>
      </w:pPr>
      <w:r w:rsidRPr="00B82A14">
        <w:rPr>
          <w:rFonts w:cs="Arial"/>
          <w:szCs w:val="22"/>
          <w:u w:val="single"/>
        </w:rPr>
        <w:t xml:space="preserve">Conditional Synthetic Lethality and Cancer Therapeutics. </w:t>
      </w:r>
      <w:r w:rsidRPr="00B82A14">
        <w:rPr>
          <w:rFonts w:cs="Arial"/>
          <w:szCs w:val="22"/>
        </w:rPr>
        <w:t>Identifying new molecular targeted therapies that specifically kill tumor cells while sparing normal tissue is the next major challenge of cancer research. Using a</w:t>
      </w:r>
      <w:r w:rsidRPr="00B82A14">
        <w:rPr>
          <w:rFonts w:cs="Arial"/>
          <w:szCs w:val="22"/>
          <w:u w:val="single"/>
        </w:rPr>
        <w:t xml:space="preserve"> </w:t>
      </w:r>
      <w:r w:rsidRPr="00B82A14">
        <w:rPr>
          <w:rFonts w:cs="Arial"/>
          <w:szCs w:val="22"/>
        </w:rPr>
        <w:t>high-throughput chemical synthetic lethal screen, we identified several small molecule</w:t>
      </w:r>
      <w:r w:rsidRPr="00B82A14">
        <w:rPr>
          <w:rFonts w:cs="Arial"/>
          <w:szCs w:val="22"/>
          <w:u w:val="single"/>
        </w:rPr>
        <w:t xml:space="preserve"> </w:t>
      </w:r>
      <w:r w:rsidRPr="00B82A14">
        <w:rPr>
          <w:rFonts w:cs="Arial"/>
          <w:szCs w:val="22"/>
        </w:rPr>
        <w:t>compounds that exploit the loss of the von Hippel-Lindau (</w:t>
      </w:r>
      <w:r w:rsidRPr="00B82A14">
        <w:rPr>
          <w:rFonts w:cs="Arial"/>
          <w:i/>
          <w:iCs/>
          <w:szCs w:val="22"/>
        </w:rPr>
        <w:t>VHL</w:t>
      </w:r>
      <w:r w:rsidRPr="00B82A14">
        <w:rPr>
          <w:rFonts w:cs="Arial"/>
          <w:szCs w:val="22"/>
        </w:rPr>
        <w:t>) tumor</w:t>
      </w:r>
      <w:r w:rsidRPr="00B82A14">
        <w:rPr>
          <w:rFonts w:cs="Arial"/>
          <w:szCs w:val="22"/>
          <w:u w:val="single"/>
        </w:rPr>
        <w:t xml:space="preserve"> </w:t>
      </w:r>
      <w:r w:rsidRPr="00B82A14">
        <w:rPr>
          <w:rFonts w:cs="Arial"/>
          <w:szCs w:val="22"/>
        </w:rPr>
        <w:t xml:space="preserve">suppressor gene, which occurs in approximately 80% of renal carcinomas. </w:t>
      </w:r>
      <w:r w:rsidR="0014770F" w:rsidRPr="00B82A14">
        <w:rPr>
          <w:rFonts w:cs="Arial"/>
          <w:szCs w:val="22"/>
        </w:rPr>
        <w:t xml:space="preserve">One molecule STF-62247 induces cytotoxicity and reduces tumor growth by inducing autophagy. </w:t>
      </w:r>
      <w:r w:rsidR="00AD2C9C" w:rsidRPr="00B82A14">
        <w:rPr>
          <w:rFonts w:cs="Arial"/>
          <w:szCs w:val="22"/>
        </w:rPr>
        <w:t xml:space="preserve"> Interestingly, STF-62247 kills VHL deficient cells in a HIF independent manner.  We also identified a second compound, STF-31 that also </w:t>
      </w:r>
      <w:r w:rsidRPr="00B82A14">
        <w:rPr>
          <w:rFonts w:cs="Arial"/>
          <w:szCs w:val="22"/>
        </w:rPr>
        <w:t xml:space="preserve">selectively kills cells with mutant </w:t>
      </w:r>
      <w:r w:rsidRPr="00B82A14">
        <w:rPr>
          <w:rFonts w:cs="Arial"/>
          <w:i/>
          <w:iCs/>
          <w:szCs w:val="22"/>
        </w:rPr>
        <w:t xml:space="preserve">VHL </w:t>
      </w:r>
      <w:r w:rsidRPr="00B82A14">
        <w:rPr>
          <w:rFonts w:cs="Arial"/>
          <w:szCs w:val="22"/>
        </w:rPr>
        <w:t xml:space="preserve">by specifically targeting glucose uptake </w:t>
      </w:r>
      <w:r w:rsidR="00AD2C9C" w:rsidRPr="00B82A14">
        <w:rPr>
          <w:rFonts w:cs="Arial"/>
          <w:szCs w:val="22"/>
        </w:rPr>
        <w:t>and decreasing</w:t>
      </w:r>
      <w:r w:rsidRPr="00B82A14">
        <w:rPr>
          <w:rFonts w:cs="Arial"/>
          <w:szCs w:val="22"/>
        </w:rPr>
        <w:t xml:space="preserve"> </w:t>
      </w:r>
      <w:r w:rsidR="00AD2C9C" w:rsidRPr="00B82A14">
        <w:rPr>
          <w:rFonts w:cs="Arial"/>
          <w:szCs w:val="22"/>
        </w:rPr>
        <w:t>ATP production by glycolysis</w:t>
      </w:r>
      <w:r w:rsidRPr="00B82A14">
        <w:rPr>
          <w:rFonts w:cs="Arial"/>
          <w:szCs w:val="22"/>
        </w:rPr>
        <w:t>. Activity of STF-31 in these experimental renal cell tumors can be monitored by [18F]-fluorodeoxyglucose (FDG) uptake by microPET imaging and therefore may be readily translated clinically to human tumors. STF-31 is a particularly attractive targeted therapy for the treatment of renal carcinoma due to its unique</w:t>
      </w:r>
      <w:r w:rsidR="00AD2C9C" w:rsidRPr="00B82A14">
        <w:rPr>
          <w:rFonts w:cs="Arial"/>
          <w:szCs w:val="22"/>
        </w:rPr>
        <w:t xml:space="preserve"> </w:t>
      </w:r>
      <w:r w:rsidRPr="00B82A14">
        <w:rPr>
          <w:rFonts w:cs="Arial"/>
          <w:szCs w:val="22"/>
        </w:rPr>
        <w:t xml:space="preserve">mechanism of inhibiting glucose uptake and the ability to measure tumor response by FDG-PET.  We have recently other tumor types such as ovarian cancers that are highly sensitive to killing by STF-31. </w:t>
      </w:r>
      <w:r w:rsidR="00AD2C9C" w:rsidRPr="00B82A14">
        <w:rPr>
          <w:rFonts w:cs="Arial"/>
          <w:szCs w:val="22"/>
        </w:rPr>
        <w:t xml:space="preserve">These two small molecules that been licensed from Stanford and are being clinically developed. </w:t>
      </w:r>
    </w:p>
    <w:p w14:paraId="171BC4AE" w14:textId="77777777" w:rsidR="00AD2C9C" w:rsidRPr="00B82A14" w:rsidRDefault="003E5367" w:rsidP="00E36CAE">
      <w:pPr>
        <w:spacing w:before="60"/>
        <w:ind w:left="907" w:right="187" w:hanging="360"/>
        <w:jc w:val="both"/>
        <w:rPr>
          <w:rFonts w:cs="Arial"/>
          <w:szCs w:val="22"/>
          <w:highlight w:val="green"/>
        </w:rPr>
      </w:pPr>
      <w:r>
        <w:rPr>
          <w:rFonts w:cs="Arial"/>
          <w:color w:val="000000" w:themeColor="text1"/>
          <w:szCs w:val="22"/>
        </w:rPr>
        <w:t>a.</w:t>
      </w:r>
      <w:r>
        <w:rPr>
          <w:rFonts w:cs="Arial"/>
          <w:color w:val="000000" w:themeColor="text1"/>
          <w:szCs w:val="22"/>
        </w:rPr>
        <w:tab/>
      </w:r>
      <w:r w:rsidR="00AD2C9C" w:rsidRPr="00B82A14">
        <w:rPr>
          <w:rFonts w:cs="Arial"/>
          <w:color w:val="000000" w:themeColor="text1"/>
          <w:szCs w:val="22"/>
        </w:rPr>
        <w:t xml:space="preserve">Turcotte, S., Chan, D.A., Sutphin, P.D., Hay, M.P., Denny, W.A. and </w:t>
      </w:r>
      <w:r w:rsidR="00AD2C9C" w:rsidRPr="00B82A14">
        <w:rPr>
          <w:rFonts w:cs="Arial"/>
          <w:b/>
          <w:color w:val="000000" w:themeColor="text1"/>
          <w:szCs w:val="22"/>
        </w:rPr>
        <w:t>Giaccia, A.J.</w:t>
      </w:r>
      <w:r w:rsidR="00AD2C9C" w:rsidRPr="00B82A14">
        <w:rPr>
          <w:rFonts w:cs="Arial"/>
          <w:color w:val="000000" w:themeColor="text1"/>
          <w:szCs w:val="22"/>
        </w:rPr>
        <w:t xml:space="preserve">  A molecule targeting VHL-deficient renal cell carcinoma that induces autophagy.  Cancer Cell 14:90-102, 2008 </w:t>
      </w:r>
      <w:bookmarkStart w:id="0" w:name="OLE_LINK26"/>
      <w:bookmarkStart w:id="1" w:name="OLE_LINK27"/>
      <w:bookmarkStart w:id="2" w:name="OLE_LINK28"/>
      <w:r w:rsidR="00AD2C9C" w:rsidRPr="00B82A14">
        <w:rPr>
          <w:rFonts w:cs="Arial"/>
          <w:color w:val="000000" w:themeColor="text1"/>
          <w:szCs w:val="22"/>
        </w:rPr>
        <w:t>(PMCID: PMC2819422).</w:t>
      </w:r>
      <w:bookmarkEnd w:id="0"/>
      <w:bookmarkEnd w:id="1"/>
      <w:bookmarkEnd w:id="2"/>
    </w:p>
    <w:p w14:paraId="1F5516F0" w14:textId="77777777" w:rsidR="00AD2C9C" w:rsidRPr="00B82A14" w:rsidRDefault="003E5367" w:rsidP="00DE74D1">
      <w:pPr>
        <w:pStyle w:val="ListParagraph"/>
        <w:spacing w:before="20"/>
        <w:ind w:left="907" w:right="187" w:hanging="360"/>
        <w:jc w:val="both"/>
        <w:rPr>
          <w:rFonts w:cs="Arial"/>
          <w:szCs w:val="22"/>
          <w:highlight w:val="green"/>
        </w:rPr>
      </w:pPr>
      <w:r>
        <w:rPr>
          <w:rFonts w:cs="Arial"/>
          <w:color w:val="000000" w:themeColor="text1"/>
          <w:szCs w:val="22"/>
        </w:rPr>
        <w:t>b.</w:t>
      </w:r>
      <w:r>
        <w:rPr>
          <w:rFonts w:cs="Arial"/>
          <w:color w:val="000000" w:themeColor="text1"/>
          <w:szCs w:val="22"/>
        </w:rPr>
        <w:tab/>
      </w:r>
      <w:r w:rsidR="00AD2C9C" w:rsidRPr="00B82A14">
        <w:rPr>
          <w:rFonts w:cs="Arial"/>
          <w:color w:val="000000" w:themeColor="text1"/>
          <w:szCs w:val="22"/>
        </w:rPr>
        <w:t xml:space="preserve">Turcotte, S., Sutphin, P.D. and </w:t>
      </w:r>
      <w:r w:rsidR="00AD2C9C" w:rsidRPr="00B82A14">
        <w:rPr>
          <w:rFonts w:cs="Arial"/>
          <w:b/>
          <w:color w:val="000000" w:themeColor="text1"/>
          <w:szCs w:val="22"/>
        </w:rPr>
        <w:t>Giaccia, A.J.</w:t>
      </w:r>
      <w:r w:rsidR="00AD2C9C" w:rsidRPr="00B82A14">
        <w:rPr>
          <w:rFonts w:cs="Arial"/>
          <w:color w:val="000000" w:themeColor="text1"/>
          <w:szCs w:val="22"/>
        </w:rPr>
        <w:t xml:space="preserve">  Targeted therapy for the loss of von Hippel-Landau in renal cell carcinoma:  A novel molecule that induces autophagic cell death.  Autophagy 4:944-946, 2008 (PMCID: PMC2803726).</w:t>
      </w:r>
    </w:p>
    <w:p w14:paraId="1E5DB2DB" w14:textId="77777777" w:rsidR="00AD2C9C" w:rsidRPr="00B82A14" w:rsidRDefault="003E5367" w:rsidP="00DE74D1">
      <w:pPr>
        <w:pStyle w:val="ListParagraph"/>
        <w:spacing w:before="20"/>
        <w:ind w:left="907" w:right="187" w:hanging="360"/>
        <w:jc w:val="both"/>
        <w:rPr>
          <w:rFonts w:cs="Arial"/>
          <w:color w:val="000000" w:themeColor="text1"/>
          <w:szCs w:val="22"/>
        </w:rPr>
      </w:pPr>
      <w:r>
        <w:rPr>
          <w:rFonts w:cs="Arial"/>
          <w:color w:val="000000" w:themeColor="text1"/>
          <w:szCs w:val="22"/>
        </w:rPr>
        <w:t>c.</w:t>
      </w:r>
      <w:r>
        <w:rPr>
          <w:rFonts w:cs="Arial"/>
          <w:color w:val="000000" w:themeColor="text1"/>
          <w:szCs w:val="22"/>
        </w:rPr>
        <w:tab/>
      </w:r>
      <w:r w:rsidR="00AD2C9C" w:rsidRPr="00B82A14">
        <w:rPr>
          <w:rFonts w:cs="Arial"/>
          <w:color w:val="000000" w:themeColor="text1"/>
          <w:szCs w:val="22"/>
        </w:rPr>
        <w:t xml:space="preserve">Chan, D.A., Sutphin, P.D., Nguyen, P., Turcotte, S., Lai, E.W., Banh, A., Reynolds, G.E., Chi, J-T., Wu, J., Solow-Cordero, D.E., Bonnet, M., Flanagan, J., Bouley, D.M., Graves, E.E., Denny, W.A., Hay, M.P. and </w:t>
      </w:r>
      <w:r w:rsidR="00AD2C9C" w:rsidRPr="00B82A14">
        <w:rPr>
          <w:rFonts w:cs="Arial"/>
          <w:b/>
          <w:color w:val="000000" w:themeColor="text1"/>
          <w:szCs w:val="22"/>
        </w:rPr>
        <w:t>Giaccia, A.J.</w:t>
      </w:r>
      <w:r w:rsidR="00AD2C9C" w:rsidRPr="00B82A14">
        <w:rPr>
          <w:rFonts w:cs="Arial"/>
          <w:color w:val="000000" w:themeColor="text1"/>
          <w:szCs w:val="22"/>
        </w:rPr>
        <w:t xml:space="preserve"> Targeting GLUT1 and the Warburg Effect in Renal Cell Carcinoma by Chemical Synthetic Lethality.  Sci Transl Med 3:94ra70, 2011 (PMCID: PMC3683134).</w:t>
      </w:r>
    </w:p>
    <w:p w14:paraId="0BA341D8" w14:textId="77777777" w:rsidR="004D3D30" w:rsidRPr="00B82A14" w:rsidRDefault="003E5367" w:rsidP="00DE74D1">
      <w:pPr>
        <w:pStyle w:val="ListParagraph"/>
        <w:spacing w:before="20"/>
        <w:ind w:left="907" w:right="187" w:hanging="360"/>
        <w:jc w:val="both"/>
        <w:rPr>
          <w:rFonts w:cs="Arial"/>
          <w:color w:val="000000" w:themeColor="text1"/>
          <w:szCs w:val="22"/>
        </w:rPr>
      </w:pPr>
      <w:r>
        <w:rPr>
          <w:rFonts w:cs="Arial"/>
          <w:color w:val="000000" w:themeColor="text1"/>
          <w:szCs w:val="22"/>
        </w:rPr>
        <w:t>d.</w:t>
      </w:r>
      <w:r>
        <w:rPr>
          <w:rFonts w:cs="Arial"/>
          <w:color w:val="000000" w:themeColor="text1"/>
          <w:szCs w:val="22"/>
        </w:rPr>
        <w:tab/>
      </w:r>
      <w:r w:rsidR="00BE4D8D" w:rsidRPr="00B82A14">
        <w:rPr>
          <w:rFonts w:cs="Arial"/>
          <w:color w:val="000000" w:themeColor="text1"/>
          <w:szCs w:val="22"/>
        </w:rPr>
        <w:t xml:space="preserve">Chan, D.A. and </w:t>
      </w:r>
      <w:r w:rsidR="00BE4D8D" w:rsidRPr="00B82A14">
        <w:rPr>
          <w:rFonts w:cs="Arial"/>
          <w:b/>
          <w:color w:val="000000" w:themeColor="text1"/>
          <w:szCs w:val="22"/>
        </w:rPr>
        <w:t xml:space="preserve">Giaccia, A.J. </w:t>
      </w:r>
      <w:r w:rsidR="00BE4D8D" w:rsidRPr="00B82A14">
        <w:rPr>
          <w:rFonts w:cs="Arial"/>
          <w:color w:val="000000" w:themeColor="text1"/>
          <w:szCs w:val="22"/>
        </w:rPr>
        <w:t>Harnessing synthetic lethal interactions in anticancer drug discovery. Nat Rev Drug Discov 10:351-364, 2011 (PMCID: PMC3652585).</w:t>
      </w:r>
    </w:p>
    <w:p w14:paraId="1121BD7C" w14:textId="626575DC" w:rsidR="001251E7" w:rsidRPr="00B82A14" w:rsidRDefault="0048462E" w:rsidP="00E36CAE">
      <w:pPr>
        <w:numPr>
          <w:ilvl w:val="0"/>
          <w:numId w:val="29"/>
        </w:numPr>
        <w:spacing w:before="100"/>
        <w:jc w:val="both"/>
        <w:rPr>
          <w:rFonts w:cs="Arial"/>
          <w:szCs w:val="22"/>
          <w:u w:val="single"/>
        </w:rPr>
      </w:pPr>
      <w:r>
        <w:rPr>
          <w:rFonts w:cs="Arial"/>
          <w:szCs w:val="22"/>
          <w:u w:val="single"/>
        </w:rPr>
        <w:t>Radioprotection of Normal Tissue</w:t>
      </w:r>
      <w:r w:rsidR="001251E7" w:rsidRPr="00B82A14">
        <w:rPr>
          <w:rFonts w:cs="Arial"/>
          <w:szCs w:val="22"/>
          <w:u w:val="single"/>
        </w:rPr>
        <w:t>.</w:t>
      </w:r>
      <w:r w:rsidR="00771926" w:rsidRPr="00771926">
        <w:rPr>
          <w:rFonts w:cs="Arial"/>
          <w:szCs w:val="22"/>
        </w:rPr>
        <w:t xml:space="preserve"> </w:t>
      </w:r>
      <w:r w:rsidR="001251E7" w:rsidRPr="00B82A14">
        <w:rPr>
          <w:rFonts w:cs="Arial"/>
          <w:szCs w:val="22"/>
        </w:rPr>
        <w:t xml:space="preserve">Unlike chemotherapy, radiotherapy is highly effective in eradicating tumors, but it cannot be used to treat widespread metastasis in the liver due to normal tissue </w:t>
      </w:r>
      <w:r w:rsidR="00771926">
        <w:rPr>
          <w:rFonts w:cs="Arial"/>
          <w:szCs w:val="22"/>
        </w:rPr>
        <w:t>toxicity</w:t>
      </w:r>
      <w:r w:rsidR="001251E7" w:rsidRPr="00B82A14">
        <w:rPr>
          <w:rFonts w:cs="Arial"/>
          <w:szCs w:val="22"/>
        </w:rPr>
        <w:t>, especially at the doses of radiation needed to eliminate the metastasis. For radiotherapy to be used in such a manner, we need to develop effective radioprotectors that protect normal tissue, but not tumor tissue from radiation induced cell death. We have identified prolyl hydroxylase (PHD) inhibitors as pr</w:t>
      </w:r>
      <w:r w:rsidR="00771926">
        <w:rPr>
          <w:rFonts w:cs="Arial"/>
          <w:szCs w:val="22"/>
        </w:rPr>
        <w:t xml:space="preserve">omising agents that both stimulate erythropoiesis and protect the </w:t>
      </w:r>
      <w:r w:rsidR="001251E7" w:rsidRPr="00B82A14">
        <w:rPr>
          <w:rFonts w:cs="Arial"/>
          <w:szCs w:val="22"/>
        </w:rPr>
        <w:t xml:space="preserve">gastrointestinal tract from lethal doses of radiation without any effect on tumor radiosensitivity. Such agents will revolutionize the use of radiation for the treatment of metastasis, and most importantly would start to increase the long-term survival of patients with metastatic disease.  </w:t>
      </w:r>
      <w:r w:rsidR="00955566">
        <w:rPr>
          <w:rFonts w:cs="Arial"/>
          <w:szCs w:val="22"/>
        </w:rPr>
        <w:t xml:space="preserve">More recently, we have identified C5aR1, a member of the complement family, as a critical mediator of radiosensitivity of both </w:t>
      </w:r>
      <w:r w:rsidR="006C287F">
        <w:rPr>
          <w:rFonts w:cs="Arial"/>
          <w:szCs w:val="22"/>
        </w:rPr>
        <w:t xml:space="preserve">normal tissues as well as tumors. This molecule is highly compelling because its inhibition through small molecule inhibitors proves an increased therapeutic index by protecting normal tissues and sensitizing tumors to radiation.  </w:t>
      </w:r>
      <w:r w:rsidR="00955566">
        <w:rPr>
          <w:rFonts w:cs="Arial"/>
          <w:szCs w:val="22"/>
        </w:rPr>
        <w:t xml:space="preserve"> </w:t>
      </w:r>
      <w:r w:rsidR="001251E7" w:rsidRPr="00B82A14">
        <w:rPr>
          <w:rFonts w:cs="Arial"/>
          <w:szCs w:val="22"/>
        </w:rPr>
        <w:t xml:space="preserve">So, our big idea is the identification of new molecules that selectively protect normal tissue from </w:t>
      </w:r>
      <w:r w:rsidR="007E29B5">
        <w:rPr>
          <w:rFonts w:cs="Arial"/>
          <w:szCs w:val="22"/>
        </w:rPr>
        <w:t>radiation-</w:t>
      </w:r>
      <w:r w:rsidR="001251E7" w:rsidRPr="00B82A14">
        <w:rPr>
          <w:rFonts w:cs="Arial"/>
          <w:szCs w:val="22"/>
        </w:rPr>
        <w:t>induced lethality. This is a completely different approach to the treatment of metastatic disease that is risky, but would be revolutionary.</w:t>
      </w:r>
      <w:r w:rsidR="00771926">
        <w:rPr>
          <w:rFonts w:cs="Arial"/>
          <w:szCs w:val="22"/>
        </w:rPr>
        <w:t xml:space="preserve"> </w:t>
      </w:r>
    </w:p>
    <w:p w14:paraId="566EF27F" w14:textId="77777777" w:rsidR="001251E7" w:rsidRPr="00B82A14" w:rsidRDefault="003E5367" w:rsidP="00E36CAE">
      <w:pPr>
        <w:spacing w:before="60"/>
        <w:ind w:left="907" w:right="187" w:hanging="360"/>
        <w:jc w:val="both"/>
        <w:rPr>
          <w:rFonts w:cs="Arial"/>
          <w:szCs w:val="22"/>
          <w:highlight w:val="green"/>
        </w:rPr>
      </w:pPr>
      <w:r>
        <w:rPr>
          <w:rFonts w:cs="Arial"/>
          <w:color w:val="000000" w:themeColor="text1"/>
          <w:szCs w:val="22"/>
        </w:rPr>
        <w:t>a.</w:t>
      </w:r>
      <w:r>
        <w:rPr>
          <w:rFonts w:cs="Arial"/>
          <w:color w:val="000000" w:themeColor="text1"/>
          <w:szCs w:val="22"/>
        </w:rPr>
        <w:tab/>
      </w:r>
      <w:r w:rsidR="001251E7" w:rsidRPr="00B82A14">
        <w:rPr>
          <w:rFonts w:cs="Arial"/>
          <w:color w:val="000000" w:themeColor="text1"/>
          <w:szCs w:val="22"/>
        </w:rPr>
        <w:t xml:space="preserve">Rankin, E.B., Wu, C., Khatri, R., Wilson, T.L.S., Andersen, R., Araldi, E., Rankin, A.L. Yuan, J., Kuo, C.J., Schipani, E. and </w:t>
      </w:r>
      <w:r w:rsidR="001251E7" w:rsidRPr="00B82A14">
        <w:rPr>
          <w:rFonts w:cs="Arial"/>
          <w:b/>
          <w:color w:val="000000" w:themeColor="text1"/>
          <w:szCs w:val="22"/>
        </w:rPr>
        <w:t>Giaccia, A.J.</w:t>
      </w:r>
      <w:r w:rsidR="001251E7" w:rsidRPr="00B82A14">
        <w:rPr>
          <w:rFonts w:cs="Arial"/>
          <w:color w:val="000000" w:themeColor="text1"/>
          <w:szCs w:val="22"/>
        </w:rPr>
        <w:t xml:space="preserve">  The HIF signaling pathway in osteoblasts directly modulates erythropoiesis through the production of EPO.  Cell 149:63-74, 2012 (PMCID: PMC3408231).</w:t>
      </w:r>
    </w:p>
    <w:p w14:paraId="7959D1AB" w14:textId="77777777" w:rsidR="001251E7" w:rsidRPr="00B82A14" w:rsidRDefault="003E5367" w:rsidP="00DE74D1">
      <w:pPr>
        <w:pStyle w:val="ListParagraph"/>
        <w:spacing w:before="20"/>
        <w:ind w:left="907" w:right="187" w:hanging="360"/>
        <w:jc w:val="both"/>
        <w:rPr>
          <w:rFonts w:cs="Arial"/>
          <w:szCs w:val="22"/>
          <w:highlight w:val="green"/>
        </w:rPr>
      </w:pPr>
      <w:r>
        <w:rPr>
          <w:rFonts w:cs="Arial"/>
          <w:szCs w:val="22"/>
        </w:rPr>
        <w:t>b.</w:t>
      </w:r>
      <w:r>
        <w:rPr>
          <w:rFonts w:cs="Arial"/>
          <w:szCs w:val="22"/>
        </w:rPr>
        <w:tab/>
      </w:r>
      <w:r w:rsidR="001251E7" w:rsidRPr="00B82A14">
        <w:rPr>
          <w:rFonts w:cs="Arial"/>
          <w:szCs w:val="22"/>
        </w:rPr>
        <w:t xml:space="preserve">Taniguchi, C.M., Miao, Y.R., Diep, A.N., Wu, C., Rankin, E.B., Atwood, T.F. Xing, L., and </w:t>
      </w:r>
      <w:r w:rsidR="001251E7" w:rsidRPr="00B82A14">
        <w:rPr>
          <w:rFonts w:cs="Arial"/>
          <w:b/>
          <w:szCs w:val="22"/>
        </w:rPr>
        <w:t>Giaccia, A.J.</w:t>
      </w:r>
      <w:r w:rsidR="001251E7" w:rsidRPr="00B82A14">
        <w:rPr>
          <w:rFonts w:cs="Arial"/>
          <w:szCs w:val="22"/>
        </w:rPr>
        <w:t xml:space="preserve">  PHD inhibition mitigates and protects against radiation-induced gastrointestinal toxicity via HIF2. Sci Transl Med 6:236ra64, 2014 (</w:t>
      </w:r>
      <w:r w:rsidR="001251E7" w:rsidRPr="00B82A14">
        <w:rPr>
          <w:rFonts w:cs="Arial"/>
          <w:color w:val="000000" w:themeColor="text1"/>
          <w:szCs w:val="22"/>
        </w:rPr>
        <w:t>PMCID: PMC4136475)</w:t>
      </w:r>
      <w:r w:rsidR="001251E7" w:rsidRPr="00B82A14">
        <w:rPr>
          <w:rFonts w:cs="Arial"/>
          <w:szCs w:val="22"/>
        </w:rPr>
        <w:t>.</w:t>
      </w:r>
    </w:p>
    <w:p w14:paraId="05CD7DAB" w14:textId="0EA3C5AC" w:rsidR="00402FBA" w:rsidRDefault="003E5367" w:rsidP="00DE74D1">
      <w:pPr>
        <w:pStyle w:val="ListParagraph"/>
        <w:spacing w:before="20"/>
        <w:ind w:left="907" w:right="187" w:hanging="360"/>
        <w:jc w:val="both"/>
        <w:rPr>
          <w:rFonts w:cs="Arial"/>
          <w:color w:val="000000" w:themeColor="text1"/>
          <w:szCs w:val="22"/>
        </w:rPr>
      </w:pPr>
      <w:r>
        <w:rPr>
          <w:rFonts w:cs="Arial"/>
          <w:color w:val="000000" w:themeColor="text1"/>
          <w:szCs w:val="22"/>
        </w:rPr>
        <w:t>c.</w:t>
      </w:r>
      <w:r>
        <w:rPr>
          <w:rFonts w:cs="Arial"/>
          <w:color w:val="000000" w:themeColor="text1"/>
          <w:szCs w:val="22"/>
        </w:rPr>
        <w:tab/>
      </w:r>
      <w:r w:rsidR="001251E7" w:rsidRPr="00B82A14">
        <w:rPr>
          <w:rFonts w:cs="Arial"/>
          <w:b/>
          <w:color w:val="000000" w:themeColor="text1"/>
          <w:szCs w:val="22"/>
        </w:rPr>
        <w:t xml:space="preserve">Giaccia, A.J.  </w:t>
      </w:r>
      <w:r w:rsidR="001251E7" w:rsidRPr="00B82A14">
        <w:rPr>
          <w:rFonts w:cs="Arial"/>
          <w:color w:val="000000" w:themeColor="text1"/>
          <w:szCs w:val="22"/>
        </w:rPr>
        <w:t>Molecular Radiobiology: The State of the Art. J Clin Oncol 32:2871-2878, 2014.</w:t>
      </w:r>
    </w:p>
    <w:p w14:paraId="3BE30857" w14:textId="3D6223C2" w:rsidR="006C287F" w:rsidRPr="00B82A14" w:rsidRDefault="006C287F" w:rsidP="00DE74D1">
      <w:pPr>
        <w:pStyle w:val="ListParagraph"/>
        <w:spacing w:before="20"/>
        <w:ind w:left="907" w:right="187" w:hanging="360"/>
        <w:jc w:val="both"/>
        <w:rPr>
          <w:rFonts w:cs="Arial"/>
          <w:color w:val="000000" w:themeColor="text1"/>
          <w:szCs w:val="22"/>
        </w:rPr>
      </w:pPr>
      <w:r>
        <w:rPr>
          <w:rFonts w:cs="Arial"/>
          <w:color w:val="000000" w:themeColor="text1"/>
          <w:szCs w:val="22"/>
        </w:rPr>
        <w:t>d.</w:t>
      </w:r>
      <w:r>
        <w:rPr>
          <w:rFonts w:cs="Arial"/>
          <w:color w:val="000000" w:themeColor="text1"/>
          <w:szCs w:val="22"/>
        </w:rPr>
        <w:tab/>
      </w:r>
      <w:proofErr w:type="spellStart"/>
      <w:r>
        <w:rPr>
          <w:rFonts w:cs="Arial"/>
          <w:color w:val="000000" w:themeColor="text1"/>
          <w:szCs w:val="22"/>
        </w:rPr>
        <w:t>Olcina</w:t>
      </w:r>
      <w:proofErr w:type="spellEnd"/>
      <w:r>
        <w:rPr>
          <w:rFonts w:cs="Arial"/>
          <w:color w:val="000000" w:themeColor="text1"/>
          <w:szCs w:val="22"/>
        </w:rPr>
        <w:t xml:space="preserve">, M.M. and </w:t>
      </w:r>
      <w:r w:rsidRPr="006C287F">
        <w:rPr>
          <w:rFonts w:cs="Arial"/>
          <w:b/>
          <w:bCs/>
          <w:color w:val="000000" w:themeColor="text1"/>
          <w:szCs w:val="22"/>
        </w:rPr>
        <w:t>Giaccia, A.J.</w:t>
      </w:r>
      <w:r>
        <w:rPr>
          <w:rFonts w:cs="Arial"/>
          <w:color w:val="000000" w:themeColor="text1"/>
          <w:szCs w:val="22"/>
        </w:rPr>
        <w:t xml:space="preserve"> Reducing radiation-induced gastrointestinal toxicity-the role of the PHD-HIF axis. JCI 126:1078-1089, 2016 PMID:27548524</w:t>
      </w:r>
    </w:p>
    <w:p w14:paraId="375AB601" w14:textId="5B5DFD07" w:rsidR="002F723F" w:rsidRPr="00B82A14" w:rsidRDefault="00830AFE" w:rsidP="00E36CAE">
      <w:pPr>
        <w:numPr>
          <w:ilvl w:val="0"/>
          <w:numId w:val="29"/>
        </w:numPr>
        <w:spacing w:before="100"/>
        <w:jc w:val="both"/>
        <w:rPr>
          <w:rFonts w:cs="Arial"/>
          <w:szCs w:val="22"/>
        </w:rPr>
      </w:pPr>
      <w:r w:rsidRPr="00B82A14">
        <w:rPr>
          <w:rFonts w:cs="Arial"/>
          <w:szCs w:val="22"/>
          <w:u w:val="single"/>
        </w:rPr>
        <w:t>HIF and Glucose and Lipid Metabolism</w:t>
      </w:r>
      <w:r w:rsidR="001251E7" w:rsidRPr="00B82A14">
        <w:rPr>
          <w:rFonts w:cs="Arial"/>
          <w:szCs w:val="22"/>
          <w:u w:val="single"/>
        </w:rPr>
        <w:t xml:space="preserve">. </w:t>
      </w:r>
      <w:r w:rsidR="002F723F" w:rsidRPr="00B82A14">
        <w:rPr>
          <w:rFonts w:eastAsia="Times" w:cs="Arial"/>
          <w:szCs w:val="22"/>
        </w:rPr>
        <w:t xml:space="preserve">Insulin receptor substrate-2 (IRS2) is a critical component of the insulin signalling pathway.  Decreased hepatic IRS2 expression contributes to diabetes in animal models of insulin resistance.   Liver-specific knockouts of IRS2 show impaired glucose homeostasis in the fasted state.  Thus, a great effort has been made to discover therapeutic pathways that would raise hepatic IRS2 levels and reverse hepatic insulin resistance.  Unfortunately, many candidate molecules that increase IRS2, such as TFE3, SREBP1c or TORC2, are difficult to target pharmacologically. </w:t>
      </w:r>
      <w:r w:rsidR="007D25B6" w:rsidRPr="00B82A14">
        <w:rPr>
          <w:rFonts w:cs="Arial"/>
          <w:szCs w:val="22"/>
        </w:rPr>
        <w:t xml:space="preserve">Hypoxia inducible factors -1 and -2 globally alter cellular metabolism and are regulated by three prolyl hydroxylase domain-containing proteins, PHD1-3.  To understand the relative roles of the PHD proteins, we systemically deleted all combinations of the PHD proteins in the liver and found that the deletion of PHD1-3 (L-PHD1/2/3KO) improved glucose tolerance, but led to severe hepatic steatosis and premature hypoglycemic death.  The deletion of hepatic PHD3 alone (L-PHD3KO), however, improves insulin sensitivity without a fatty liver by increasing IRS2 in a HIF2 dependent manner. Overexpression of HIF2, but not HIF1, recapitulated nearly all the phenotypes of the L-PHD1/2/3KO including hepatosteatosis and death.  Knockdown of HIF2 in L-PHD3KO mice normalized IRS2 expression and insulin sensitivity.  Thus, modulating IRS2 through PHD3/HIF2 has tremendous therapeutic potential against </w:t>
      </w:r>
      <w:r w:rsidR="00080B4B" w:rsidRPr="00B82A14">
        <w:rPr>
          <w:rFonts w:cs="Arial"/>
          <w:szCs w:val="22"/>
        </w:rPr>
        <w:t xml:space="preserve">type 2 </w:t>
      </w:r>
      <w:r w:rsidR="007D25B6" w:rsidRPr="00B82A14">
        <w:rPr>
          <w:rFonts w:cs="Arial"/>
          <w:szCs w:val="22"/>
        </w:rPr>
        <w:t xml:space="preserve">diabetes, as long as HIF2 levels are carefully titrated to avoid hepatic steatosis and lethal hypoglycaemia.  This could be accomplished through </w:t>
      </w:r>
      <w:r w:rsidR="00180EA2">
        <w:rPr>
          <w:rFonts w:cs="Arial"/>
          <w:szCs w:val="22"/>
        </w:rPr>
        <w:t xml:space="preserve">the selective </w:t>
      </w:r>
      <w:r w:rsidR="007D25B6" w:rsidRPr="00B82A14">
        <w:rPr>
          <w:rFonts w:cs="Arial"/>
          <w:szCs w:val="22"/>
        </w:rPr>
        <w:t>inhibition of PHD3 or PHD1/3</w:t>
      </w:r>
      <w:r w:rsidR="00180EA2">
        <w:rPr>
          <w:rFonts w:cs="Arial"/>
          <w:szCs w:val="22"/>
        </w:rPr>
        <w:t>, which are investigating</w:t>
      </w:r>
      <w:r w:rsidR="007D25B6" w:rsidRPr="00B82A14">
        <w:rPr>
          <w:rFonts w:cs="Arial"/>
          <w:szCs w:val="22"/>
        </w:rPr>
        <w:t>.</w:t>
      </w:r>
    </w:p>
    <w:p w14:paraId="2E0516A3" w14:textId="77777777" w:rsidR="00080B4B" w:rsidRPr="00B82A14" w:rsidRDefault="003E5367" w:rsidP="00E36CAE">
      <w:pPr>
        <w:spacing w:before="60"/>
        <w:ind w:left="907" w:right="187" w:hanging="360"/>
        <w:jc w:val="both"/>
        <w:rPr>
          <w:rFonts w:cs="Arial"/>
          <w:color w:val="000000" w:themeColor="text1"/>
          <w:szCs w:val="22"/>
        </w:rPr>
      </w:pPr>
      <w:r>
        <w:rPr>
          <w:rFonts w:cs="Arial"/>
          <w:color w:val="000000" w:themeColor="text1"/>
          <w:szCs w:val="22"/>
        </w:rPr>
        <w:t>a.</w:t>
      </w:r>
      <w:r>
        <w:rPr>
          <w:rFonts w:cs="Arial"/>
          <w:color w:val="000000" w:themeColor="text1"/>
          <w:szCs w:val="22"/>
        </w:rPr>
        <w:tab/>
      </w:r>
      <w:r w:rsidR="00080B4B" w:rsidRPr="00B82A14">
        <w:rPr>
          <w:rFonts w:cs="Arial"/>
          <w:color w:val="000000" w:themeColor="text1"/>
          <w:szCs w:val="22"/>
        </w:rPr>
        <w:t>Taniguchi</w:t>
      </w:r>
      <w:r w:rsidR="00080B4B" w:rsidRPr="00B82A14">
        <w:rPr>
          <w:rFonts w:cs="Arial"/>
          <w:color w:val="000000" w:themeColor="text1"/>
          <w:szCs w:val="22"/>
          <w:vertAlign w:val="superscript"/>
        </w:rPr>
        <w:t xml:space="preserve">, </w:t>
      </w:r>
      <w:r w:rsidR="00080B4B" w:rsidRPr="00B82A14">
        <w:rPr>
          <w:rFonts w:cs="Arial"/>
          <w:color w:val="000000" w:themeColor="text1"/>
          <w:szCs w:val="22"/>
        </w:rPr>
        <w:t>C.M., Finger</w:t>
      </w:r>
      <w:r w:rsidR="00080B4B" w:rsidRPr="00B82A14">
        <w:rPr>
          <w:rFonts w:cs="Arial"/>
          <w:color w:val="000000" w:themeColor="text1"/>
          <w:szCs w:val="22"/>
          <w:vertAlign w:val="superscript"/>
        </w:rPr>
        <w:t xml:space="preserve">, </w:t>
      </w:r>
      <w:r w:rsidR="00080B4B" w:rsidRPr="00B82A14">
        <w:rPr>
          <w:rFonts w:cs="Arial"/>
          <w:color w:val="000000" w:themeColor="text1"/>
          <w:szCs w:val="22"/>
        </w:rPr>
        <w:t>E.C., Krieg, A.J., Wu</w:t>
      </w:r>
      <w:r w:rsidR="00080B4B" w:rsidRPr="00B82A14">
        <w:rPr>
          <w:rFonts w:cs="Arial"/>
          <w:color w:val="000000" w:themeColor="text1"/>
          <w:szCs w:val="22"/>
          <w:vertAlign w:val="superscript"/>
        </w:rPr>
        <w:t xml:space="preserve">, </w:t>
      </w:r>
      <w:r w:rsidR="00080B4B" w:rsidRPr="00B82A14">
        <w:rPr>
          <w:rFonts w:cs="Arial"/>
          <w:color w:val="000000" w:themeColor="text1"/>
          <w:szCs w:val="22"/>
        </w:rPr>
        <w:t>C., Diep, A.N., LaGory</w:t>
      </w:r>
      <w:r w:rsidR="00080B4B" w:rsidRPr="00B82A14">
        <w:rPr>
          <w:rFonts w:cs="Arial"/>
          <w:color w:val="000000" w:themeColor="text1"/>
          <w:szCs w:val="22"/>
          <w:vertAlign w:val="superscript"/>
        </w:rPr>
        <w:t xml:space="preserve">, </w:t>
      </w:r>
      <w:r w:rsidR="00080B4B" w:rsidRPr="00B82A14">
        <w:rPr>
          <w:rFonts w:cs="Arial"/>
          <w:color w:val="000000" w:themeColor="text1"/>
          <w:szCs w:val="22"/>
        </w:rPr>
        <w:t xml:space="preserve">E.L., Wei, K., McGinnis, L.M. Yuan, J., Kuo, C.J. and </w:t>
      </w:r>
      <w:r w:rsidR="00080B4B" w:rsidRPr="00B82A14">
        <w:rPr>
          <w:rFonts w:cs="Arial"/>
          <w:b/>
          <w:color w:val="000000" w:themeColor="text1"/>
          <w:szCs w:val="22"/>
        </w:rPr>
        <w:t>Giaccia, A.J.</w:t>
      </w:r>
      <w:r w:rsidR="00080B4B" w:rsidRPr="00B82A14">
        <w:rPr>
          <w:rFonts w:cs="Arial"/>
          <w:color w:val="000000" w:themeColor="text1"/>
          <w:szCs w:val="22"/>
        </w:rPr>
        <w:t xml:space="preserve">  Cross-talk between hypoxia and insulin signaling via PHD3 regulates hepatic glucose and lipid metabolism and ameliorates diabetes. Nature Med 19:1325-1330, 2013 (PMCID: </w:t>
      </w:r>
      <w:hyperlink r:id="rId8" w:history="1">
        <w:r w:rsidR="00080B4B" w:rsidRPr="00B82A14">
          <w:rPr>
            <w:rFonts w:cs="Arial"/>
            <w:color w:val="000000" w:themeColor="text1"/>
            <w:szCs w:val="22"/>
          </w:rPr>
          <w:t>PMC4089950</w:t>
        </w:r>
      </w:hyperlink>
      <w:r w:rsidR="00080B4B" w:rsidRPr="00B82A14">
        <w:rPr>
          <w:rFonts w:cs="Arial"/>
          <w:color w:val="000000" w:themeColor="text1"/>
          <w:szCs w:val="22"/>
        </w:rPr>
        <w:t>).</w:t>
      </w:r>
    </w:p>
    <w:p w14:paraId="14422FA1" w14:textId="77777777" w:rsidR="00080B4B" w:rsidRPr="00B82A14" w:rsidRDefault="003E5367" w:rsidP="00DE74D1">
      <w:pPr>
        <w:pStyle w:val="ListParagraph"/>
        <w:spacing w:before="20"/>
        <w:ind w:left="907" w:right="187" w:hanging="360"/>
        <w:jc w:val="both"/>
        <w:rPr>
          <w:rFonts w:cs="Arial"/>
          <w:color w:val="000000" w:themeColor="text1"/>
          <w:szCs w:val="22"/>
        </w:rPr>
      </w:pPr>
      <w:r>
        <w:rPr>
          <w:rFonts w:cs="Arial"/>
          <w:color w:val="000000" w:themeColor="text1"/>
          <w:szCs w:val="22"/>
        </w:rPr>
        <w:t>b.</w:t>
      </w:r>
      <w:r>
        <w:rPr>
          <w:rFonts w:cs="Arial"/>
          <w:color w:val="000000" w:themeColor="text1"/>
          <w:szCs w:val="22"/>
        </w:rPr>
        <w:tab/>
      </w:r>
      <w:r w:rsidR="00080B4B" w:rsidRPr="00B82A14">
        <w:rPr>
          <w:rFonts w:cs="Arial"/>
          <w:color w:val="000000" w:themeColor="text1"/>
          <w:szCs w:val="22"/>
        </w:rPr>
        <w:t xml:space="preserve">Wei, K., Piecewicz, S., McGinnis, L.M., Taniguchi, C.M., Wiegand, S.J., Anderson, K., Chan, C.W., Mulligan, K.X., Kuo, D., Yuan, J., Vallon, M., Morton, L.C., Lefai, E., Simon, M.C., Maher, J.J., Annes, J.P., McGuinness, O.P., Thurston, G., </w:t>
      </w:r>
      <w:r w:rsidR="00080B4B" w:rsidRPr="00B82A14">
        <w:rPr>
          <w:rFonts w:cs="Arial"/>
          <w:b/>
          <w:color w:val="000000" w:themeColor="text1"/>
          <w:szCs w:val="22"/>
        </w:rPr>
        <w:t xml:space="preserve">Giaccia, A.J. </w:t>
      </w:r>
      <w:r w:rsidR="00080B4B" w:rsidRPr="00B82A14">
        <w:rPr>
          <w:rFonts w:cs="Arial"/>
          <w:color w:val="000000" w:themeColor="text1"/>
          <w:szCs w:val="22"/>
        </w:rPr>
        <w:t>and Kuo, C.J.  A liver HIF-2</w:t>
      </w:r>
      <w:r w:rsidR="00080B4B" w:rsidRPr="00B82A14">
        <w:rPr>
          <w:rFonts w:cs="Arial"/>
          <w:color w:val="000000" w:themeColor="text1"/>
          <w:szCs w:val="22"/>
        </w:rPr>
        <w:sym w:font="Symbol" w:char="F061"/>
      </w:r>
      <w:r w:rsidR="00080B4B" w:rsidRPr="00B82A14">
        <w:rPr>
          <w:rFonts w:cs="Arial"/>
          <w:color w:val="000000" w:themeColor="text1"/>
          <w:szCs w:val="22"/>
        </w:rPr>
        <w:t>/Irs2 pathway sensitizes hepatic insulin signaling and is modulated by VEGF inhibition.  Nature Med 19:1331-1337, 2013 (PMCID: PMC3795838).</w:t>
      </w:r>
    </w:p>
    <w:p w14:paraId="4A29E0BF" w14:textId="1F76124A" w:rsidR="004D3D30" w:rsidRPr="000F487F" w:rsidRDefault="004D3D30" w:rsidP="00064C01">
      <w:pPr>
        <w:spacing w:before="120"/>
        <w:rPr>
          <w:rFonts w:cs="Arial"/>
          <w:b/>
          <w:szCs w:val="22"/>
        </w:rPr>
      </w:pPr>
      <w:r w:rsidRPr="000F487F">
        <w:rPr>
          <w:rFonts w:cs="Arial"/>
          <w:b/>
          <w:szCs w:val="22"/>
          <w:u w:val="single"/>
        </w:rPr>
        <w:t>Complete List of Published Work in My</w:t>
      </w:r>
      <w:r w:rsidR="00C107B0">
        <w:rPr>
          <w:rFonts w:cs="Arial"/>
          <w:b/>
          <w:szCs w:val="22"/>
          <w:u w:val="single"/>
        </w:rPr>
        <w:t xml:space="preserve"> </w:t>
      </w:r>
      <w:r w:rsidRPr="000F487F">
        <w:rPr>
          <w:rFonts w:cs="Arial"/>
          <w:b/>
          <w:szCs w:val="22"/>
          <w:u w:val="single"/>
        </w:rPr>
        <w:t>Bibliography</w:t>
      </w:r>
      <w:r w:rsidRPr="000F487F">
        <w:rPr>
          <w:rFonts w:cs="Arial"/>
          <w:b/>
          <w:szCs w:val="22"/>
        </w:rPr>
        <w:t xml:space="preserve">: </w:t>
      </w:r>
    </w:p>
    <w:p w14:paraId="439FCE23" w14:textId="77777777" w:rsidR="003E5367" w:rsidRPr="003E5367" w:rsidRDefault="00405FC1" w:rsidP="004D3D30">
      <w:pPr>
        <w:rPr>
          <w:rStyle w:val="Hyperlink"/>
          <w:rFonts w:cs="Arial"/>
          <w:color w:val="000000" w:themeColor="text1"/>
          <w:szCs w:val="22"/>
        </w:rPr>
      </w:pPr>
      <w:hyperlink r:id="rId9" w:history="1">
        <w:r w:rsidR="003E5367" w:rsidRPr="003E5367">
          <w:rPr>
            <w:rFonts w:cs="Comic Sans MS"/>
            <w:color w:val="000000" w:themeColor="text1"/>
            <w:szCs w:val="22"/>
            <w:u w:val="single" w:color="386EFF"/>
            <w:lang w:bidi="ar-SA"/>
          </w:rPr>
          <w:t>http://www.ncbi.nlm.nih.gov/sites/myncbi/amato.giaccia.1/bibliography/40637446/public/?sort=date&amp;direction=ascending</w:t>
        </w:r>
      </w:hyperlink>
    </w:p>
    <w:p w14:paraId="757E88F7" w14:textId="6DEC4D8A" w:rsidR="004E4EB1" w:rsidRPr="00B82A14" w:rsidRDefault="004E4EB1" w:rsidP="004E4EB1">
      <w:pPr>
        <w:spacing w:before="80"/>
        <w:ind w:left="360"/>
        <w:rPr>
          <w:rFonts w:cs="Arial"/>
          <w:color w:val="000000"/>
          <w:szCs w:val="22"/>
        </w:rPr>
      </w:pPr>
    </w:p>
    <w:sectPr w:rsidR="004E4EB1" w:rsidRPr="00B82A14" w:rsidSect="00FB70A3">
      <w:headerReference w:type="default" r:id="rId10"/>
      <w:footerReference w:type="even" r:id="rId11"/>
      <w:footerReference w:type="default" r:id="rId12"/>
      <w:type w:val="continuous"/>
      <w:pgSz w:w="12240" w:h="15840" w:code="1"/>
      <w:pgMar w:top="720" w:right="720" w:bottom="720" w:left="720" w:header="0" w:footer="0" w:gutter="0"/>
      <w:pgNumType w:start="1"/>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5F9EF" w14:textId="77777777" w:rsidR="00405FC1" w:rsidRDefault="00405FC1">
      <w:r>
        <w:separator/>
      </w:r>
    </w:p>
  </w:endnote>
  <w:endnote w:type="continuationSeparator" w:id="0">
    <w:p w14:paraId="2E095681" w14:textId="77777777" w:rsidR="00405FC1" w:rsidRDefault="00405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
    <w:panose1 w:val="0200050000000000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7479468"/>
      <w:docPartObj>
        <w:docPartGallery w:val="Page Numbers (Bottom of Page)"/>
        <w:docPartUnique/>
      </w:docPartObj>
    </w:sdtPr>
    <w:sdtEndPr>
      <w:rPr>
        <w:rStyle w:val="PageNumber"/>
      </w:rPr>
    </w:sdtEndPr>
    <w:sdtContent>
      <w:p w14:paraId="62327E9D" w14:textId="41026907" w:rsidR="00FB70A3" w:rsidRDefault="00FB70A3" w:rsidP="00FB70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4F8F20" w14:textId="77777777" w:rsidR="00FB70A3" w:rsidRDefault="00FB70A3" w:rsidP="00FB70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5760122"/>
      <w:docPartObj>
        <w:docPartGallery w:val="Page Numbers (Bottom of Page)"/>
        <w:docPartUnique/>
      </w:docPartObj>
    </w:sdtPr>
    <w:sdtEndPr>
      <w:rPr>
        <w:rStyle w:val="PageNumber"/>
      </w:rPr>
    </w:sdtEndPr>
    <w:sdtContent>
      <w:p w14:paraId="219CD247" w14:textId="267A04B4" w:rsidR="00FB70A3" w:rsidRDefault="00FB70A3" w:rsidP="000C49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3D3EE934" w14:textId="77777777" w:rsidR="00FB70A3" w:rsidRDefault="00FB70A3" w:rsidP="00FB70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BAD63" w14:textId="77777777" w:rsidR="00405FC1" w:rsidRDefault="00405FC1">
      <w:r>
        <w:separator/>
      </w:r>
    </w:p>
  </w:footnote>
  <w:footnote w:type="continuationSeparator" w:id="0">
    <w:p w14:paraId="0942E5B4" w14:textId="77777777" w:rsidR="00405FC1" w:rsidRDefault="00405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8BD0D" w14:textId="77777777" w:rsidR="00DA464E" w:rsidRPr="00471A14" w:rsidRDefault="00DA464E" w:rsidP="00212406">
    <w:pPr>
      <w:pStyle w:val="PIHeader"/>
      <w:tabs>
        <w:tab w:val="left" w:pos="1800"/>
      </w:tabs>
      <w:spacing w:after="0"/>
      <w:ind w:left="54" w:right="5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5B4CBE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1761C7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1DCA67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2B2C3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E6AC5"/>
    <w:multiLevelType w:val="hybridMultilevel"/>
    <w:tmpl w:val="CC882E24"/>
    <w:lvl w:ilvl="0" w:tplc="000F0409">
      <w:start w:val="1"/>
      <w:numFmt w:val="decimal"/>
      <w:lvlText w:val="%1."/>
      <w:lvlJc w:val="left"/>
      <w:pPr>
        <w:ind w:left="720" w:hanging="360"/>
      </w:p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1" w15:restartNumberingAfterBreak="0">
    <w:nsid w:val="122E30EB"/>
    <w:multiLevelType w:val="hybridMultilevel"/>
    <w:tmpl w:val="4662A05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3" w15:restartNumberingAfterBreak="0">
    <w:nsid w:val="15B904E1"/>
    <w:multiLevelType w:val="hybridMultilevel"/>
    <w:tmpl w:val="AEDE08D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AA1341"/>
    <w:multiLevelType w:val="hybridMultilevel"/>
    <w:tmpl w:val="3118D19C"/>
    <w:lvl w:ilvl="0" w:tplc="0E66E300">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1B11E7C"/>
    <w:multiLevelType w:val="hybridMultilevel"/>
    <w:tmpl w:val="9828D836"/>
    <w:lvl w:ilvl="0" w:tplc="000F0409">
      <w:start w:val="1"/>
      <w:numFmt w:val="decimal"/>
      <w:lvlText w:val="%1."/>
      <w:lvlJc w:val="left"/>
      <w:pPr>
        <w:ind w:left="360" w:hanging="360"/>
      </w:pPr>
      <w:rPr>
        <w:rFonts w:hint="default"/>
      </w:rPr>
    </w:lvl>
    <w:lvl w:ilvl="1" w:tplc="00190409" w:tentative="1">
      <w:start w:val="1"/>
      <w:numFmt w:val="lowerLetter"/>
      <w:lvlText w:val="%2."/>
      <w:lvlJc w:val="left"/>
      <w:pPr>
        <w:ind w:left="1080" w:hanging="360"/>
      </w:pPr>
    </w:lvl>
    <w:lvl w:ilvl="2" w:tplc="001B0409" w:tentative="1">
      <w:start w:val="1"/>
      <w:numFmt w:val="lowerRoman"/>
      <w:lvlText w:val="%3."/>
      <w:lvlJc w:val="right"/>
      <w:pPr>
        <w:ind w:left="1800" w:hanging="180"/>
      </w:pPr>
    </w:lvl>
    <w:lvl w:ilvl="3" w:tplc="000F0409" w:tentative="1">
      <w:start w:val="1"/>
      <w:numFmt w:val="decimal"/>
      <w:lvlText w:val="%4."/>
      <w:lvlJc w:val="left"/>
      <w:pPr>
        <w:ind w:left="2520" w:hanging="360"/>
      </w:pPr>
    </w:lvl>
    <w:lvl w:ilvl="4" w:tplc="00190409" w:tentative="1">
      <w:start w:val="1"/>
      <w:numFmt w:val="lowerLetter"/>
      <w:lvlText w:val="%5."/>
      <w:lvlJc w:val="left"/>
      <w:pPr>
        <w:ind w:left="3240" w:hanging="360"/>
      </w:pPr>
    </w:lvl>
    <w:lvl w:ilvl="5" w:tplc="001B0409" w:tentative="1">
      <w:start w:val="1"/>
      <w:numFmt w:val="lowerRoman"/>
      <w:lvlText w:val="%6."/>
      <w:lvlJc w:val="right"/>
      <w:pPr>
        <w:ind w:left="3960" w:hanging="180"/>
      </w:pPr>
    </w:lvl>
    <w:lvl w:ilvl="6" w:tplc="000F0409" w:tentative="1">
      <w:start w:val="1"/>
      <w:numFmt w:val="decimal"/>
      <w:lvlText w:val="%7."/>
      <w:lvlJc w:val="left"/>
      <w:pPr>
        <w:ind w:left="4680" w:hanging="360"/>
      </w:pPr>
    </w:lvl>
    <w:lvl w:ilvl="7" w:tplc="00190409" w:tentative="1">
      <w:start w:val="1"/>
      <w:numFmt w:val="lowerLetter"/>
      <w:lvlText w:val="%8."/>
      <w:lvlJc w:val="left"/>
      <w:pPr>
        <w:ind w:left="5400" w:hanging="360"/>
      </w:pPr>
    </w:lvl>
    <w:lvl w:ilvl="8" w:tplc="001B0409" w:tentative="1">
      <w:start w:val="1"/>
      <w:numFmt w:val="lowerRoman"/>
      <w:lvlText w:val="%9."/>
      <w:lvlJc w:val="right"/>
      <w:pPr>
        <w:ind w:left="6120" w:hanging="180"/>
      </w:pPr>
    </w:lvl>
  </w:abstractNum>
  <w:abstractNum w:abstractNumId="16" w15:restartNumberingAfterBreak="0">
    <w:nsid w:val="4A9F069B"/>
    <w:multiLevelType w:val="hybridMultilevel"/>
    <w:tmpl w:val="4662A05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8" w15:restartNumberingAfterBreak="0">
    <w:nsid w:val="6B09135F"/>
    <w:multiLevelType w:val="hybridMultilevel"/>
    <w:tmpl w:val="C39A8B1A"/>
    <w:lvl w:ilvl="0" w:tplc="000F0409">
      <w:start w:val="1"/>
      <w:numFmt w:val="decimal"/>
      <w:lvlText w:val="%1."/>
      <w:lvlJc w:val="left"/>
      <w:pPr>
        <w:ind w:left="720" w:hanging="360"/>
      </w:p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9" w15:restartNumberingAfterBreak="0">
    <w:nsid w:val="74867D5D"/>
    <w:multiLevelType w:val="hybridMultilevel"/>
    <w:tmpl w:val="C24C592A"/>
    <w:lvl w:ilvl="0" w:tplc="000F0409">
      <w:start w:val="1"/>
      <w:numFmt w:val="decimal"/>
      <w:lvlText w:val="%1."/>
      <w:lvlJc w:val="left"/>
      <w:pPr>
        <w:ind w:left="360" w:hanging="360"/>
      </w:pPr>
      <w:rPr>
        <w:rFonts w:hint="default"/>
      </w:rPr>
    </w:lvl>
    <w:lvl w:ilvl="1" w:tplc="00190409" w:tentative="1">
      <w:start w:val="1"/>
      <w:numFmt w:val="lowerLetter"/>
      <w:lvlText w:val="%2."/>
      <w:lvlJc w:val="left"/>
      <w:pPr>
        <w:ind w:left="1080" w:hanging="360"/>
      </w:pPr>
    </w:lvl>
    <w:lvl w:ilvl="2" w:tplc="001B0409" w:tentative="1">
      <w:start w:val="1"/>
      <w:numFmt w:val="lowerRoman"/>
      <w:lvlText w:val="%3."/>
      <w:lvlJc w:val="right"/>
      <w:pPr>
        <w:ind w:left="1800" w:hanging="180"/>
      </w:pPr>
    </w:lvl>
    <w:lvl w:ilvl="3" w:tplc="000F0409" w:tentative="1">
      <w:start w:val="1"/>
      <w:numFmt w:val="decimal"/>
      <w:lvlText w:val="%4."/>
      <w:lvlJc w:val="left"/>
      <w:pPr>
        <w:ind w:left="2520" w:hanging="360"/>
      </w:pPr>
    </w:lvl>
    <w:lvl w:ilvl="4" w:tplc="00190409" w:tentative="1">
      <w:start w:val="1"/>
      <w:numFmt w:val="lowerLetter"/>
      <w:lvlText w:val="%5."/>
      <w:lvlJc w:val="left"/>
      <w:pPr>
        <w:ind w:left="3240" w:hanging="360"/>
      </w:pPr>
    </w:lvl>
    <w:lvl w:ilvl="5" w:tplc="001B0409" w:tentative="1">
      <w:start w:val="1"/>
      <w:numFmt w:val="lowerRoman"/>
      <w:lvlText w:val="%6."/>
      <w:lvlJc w:val="right"/>
      <w:pPr>
        <w:ind w:left="3960" w:hanging="180"/>
      </w:pPr>
    </w:lvl>
    <w:lvl w:ilvl="6" w:tplc="000F0409" w:tentative="1">
      <w:start w:val="1"/>
      <w:numFmt w:val="decimal"/>
      <w:lvlText w:val="%7."/>
      <w:lvlJc w:val="left"/>
      <w:pPr>
        <w:ind w:left="4680" w:hanging="360"/>
      </w:pPr>
    </w:lvl>
    <w:lvl w:ilvl="7" w:tplc="00190409" w:tentative="1">
      <w:start w:val="1"/>
      <w:numFmt w:val="lowerLetter"/>
      <w:lvlText w:val="%8."/>
      <w:lvlJc w:val="left"/>
      <w:pPr>
        <w:ind w:left="5400" w:hanging="360"/>
      </w:pPr>
    </w:lvl>
    <w:lvl w:ilvl="8" w:tplc="001B0409" w:tentative="1">
      <w:start w:val="1"/>
      <w:numFmt w:val="lowerRoman"/>
      <w:lvlText w:val="%9."/>
      <w:lvlJc w:val="right"/>
      <w:pPr>
        <w:ind w:left="6120" w:hanging="180"/>
      </w:pPr>
    </w:lvl>
  </w:abstractNum>
  <w:abstractNum w:abstractNumId="20"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0"/>
  </w:num>
  <w:num w:numId="22">
    <w:abstractNumId w:val="17"/>
  </w:num>
  <w:num w:numId="23">
    <w:abstractNumId w:val="12"/>
  </w:num>
  <w:num w:numId="24">
    <w:abstractNumId w:val="20"/>
  </w:num>
  <w:num w:numId="25">
    <w:abstractNumId w:val="18"/>
  </w:num>
  <w:num w:numId="26">
    <w:abstractNumId w:val="19"/>
  </w:num>
  <w:num w:numId="27">
    <w:abstractNumId w:val="10"/>
  </w:num>
  <w:num w:numId="28">
    <w:abstractNumId w:val="15"/>
  </w:num>
  <w:num w:numId="29">
    <w:abstractNumId w:val="14"/>
  </w:num>
  <w:num w:numId="30">
    <w:abstractNumId w:val="16"/>
  </w:num>
  <w:num w:numId="31">
    <w:abstractNumId w:val="13"/>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stylePaneSortMethod w:val="0000"/>
  <w:defaultTabStop w:val="360"/>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45"/>
    <w:rsid w:val="00017183"/>
    <w:rsid w:val="00020AF9"/>
    <w:rsid w:val="0003081A"/>
    <w:rsid w:val="00036940"/>
    <w:rsid w:val="00047569"/>
    <w:rsid w:val="00055121"/>
    <w:rsid w:val="00064C01"/>
    <w:rsid w:val="0007763A"/>
    <w:rsid w:val="00080B4B"/>
    <w:rsid w:val="00086498"/>
    <w:rsid w:val="000F487F"/>
    <w:rsid w:val="00104C44"/>
    <w:rsid w:val="00110661"/>
    <w:rsid w:val="001251E7"/>
    <w:rsid w:val="0014770F"/>
    <w:rsid w:val="00170EB2"/>
    <w:rsid w:val="0017254E"/>
    <w:rsid w:val="00180EA2"/>
    <w:rsid w:val="00182B08"/>
    <w:rsid w:val="00185CAC"/>
    <w:rsid w:val="00185DF6"/>
    <w:rsid w:val="001A790A"/>
    <w:rsid w:val="001C0EAE"/>
    <w:rsid w:val="001D01A5"/>
    <w:rsid w:val="001F3546"/>
    <w:rsid w:val="001F5CE9"/>
    <w:rsid w:val="00212406"/>
    <w:rsid w:val="00224333"/>
    <w:rsid w:val="002251B4"/>
    <w:rsid w:val="00247FB3"/>
    <w:rsid w:val="002B6FC4"/>
    <w:rsid w:val="002D3F5B"/>
    <w:rsid w:val="002D5E15"/>
    <w:rsid w:val="002F5D47"/>
    <w:rsid w:val="002F723F"/>
    <w:rsid w:val="003026E1"/>
    <w:rsid w:val="00306044"/>
    <w:rsid w:val="00313958"/>
    <w:rsid w:val="00316741"/>
    <w:rsid w:val="003349F8"/>
    <w:rsid w:val="00360F40"/>
    <w:rsid w:val="00366D21"/>
    <w:rsid w:val="003A4DED"/>
    <w:rsid w:val="003D4521"/>
    <w:rsid w:val="003E2F92"/>
    <w:rsid w:val="003E5367"/>
    <w:rsid w:val="003F5451"/>
    <w:rsid w:val="003F6A45"/>
    <w:rsid w:val="00402FBA"/>
    <w:rsid w:val="00403D50"/>
    <w:rsid w:val="00405FC1"/>
    <w:rsid w:val="0040628D"/>
    <w:rsid w:val="00417CE4"/>
    <w:rsid w:val="00430629"/>
    <w:rsid w:val="00443F81"/>
    <w:rsid w:val="00460A90"/>
    <w:rsid w:val="0048462E"/>
    <w:rsid w:val="004D3D30"/>
    <w:rsid w:val="004D4EB0"/>
    <w:rsid w:val="004D5AF1"/>
    <w:rsid w:val="004E1E3C"/>
    <w:rsid w:val="004E4EB1"/>
    <w:rsid w:val="004F17CD"/>
    <w:rsid w:val="00512A54"/>
    <w:rsid w:val="005527D5"/>
    <w:rsid w:val="00554514"/>
    <w:rsid w:val="005777B2"/>
    <w:rsid w:val="00585B90"/>
    <w:rsid w:val="005B2253"/>
    <w:rsid w:val="005D5CCF"/>
    <w:rsid w:val="005E25B3"/>
    <w:rsid w:val="005F454C"/>
    <w:rsid w:val="00641591"/>
    <w:rsid w:val="00656C74"/>
    <w:rsid w:val="006628E7"/>
    <w:rsid w:val="00662E59"/>
    <w:rsid w:val="00686B41"/>
    <w:rsid w:val="006A7537"/>
    <w:rsid w:val="006B022B"/>
    <w:rsid w:val="006C287F"/>
    <w:rsid w:val="006C621E"/>
    <w:rsid w:val="006E3647"/>
    <w:rsid w:val="006E383B"/>
    <w:rsid w:val="006E41AE"/>
    <w:rsid w:val="006F5C14"/>
    <w:rsid w:val="00762764"/>
    <w:rsid w:val="00763773"/>
    <w:rsid w:val="00771926"/>
    <w:rsid w:val="007800D4"/>
    <w:rsid w:val="0079004B"/>
    <w:rsid w:val="0079322F"/>
    <w:rsid w:val="007B6DF5"/>
    <w:rsid w:val="007D25B6"/>
    <w:rsid w:val="007D6466"/>
    <w:rsid w:val="007E29B5"/>
    <w:rsid w:val="007F070A"/>
    <w:rsid w:val="007F4E17"/>
    <w:rsid w:val="007F6136"/>
    <w:rsid w:val="008037C9"/>
    <w:rsid w:val="00830AFE"/>
    <w:rsid w:val="00831234"/>
    <w:rsid w:val="00837C19"/>
    <w:rsid w:val="00845554"/>
    <w:rsid w:val="008517D8"/>
    <w:rsid w:val="008622B1"/>
    <w:rsid w:val="00862E7E"/>
    <w:rsid w:val="00866023"/>
    <w:rsid w:val="00874982"/>
    <w:rsid w:val="008A7EDF"/>
    <w:rsid w:val="00902DFA"/>
    <w:rsid w:val="00906B01"/>
    <w:rsid w:val="009070EF"/>
    <w:rsid w:val="0091554B"/>
    <w:rsid w:val="00955566"/>
    <w:rsid w:val="00984374"/>
    <w:rsid w:val="00992ABB"/>
    <w:rsid w:val="009A1C2C"/>
    <w:rsid w:val="009A553E"/>
    <w:rsid w:val="009F63EE"/>
    <w:rsid w:val="00A440E0"/>
    <w:rsid w:val="00A46BAE"/>
    <w:rsid w:val="00A50078"/>
    <w:rsid w:val="00A74F20"/>
    <w:rsid w:val="00A77FE5"/>
    <w:rsid w:val="00A82B52"/>
    <w:rsid w:val="00A87593"/>
    <w:rsid w:val="00A94902"/>
    <w:rsid w:val="00AB072B"/>
    <w:rsid w:val="00AB6E3D"/>
    <w:rsid w:val="00AD2C9C"/>
    <w:rsid w:val="00B07EFF"/>
    <w:rsid w:val="00B17FE2"/>
    <w:rsid w:val="00B363D2"/>
    <w:rsid w:val="00B41337"/>
    <w:rsid w:val="00B6469D"/>
    <w:rsid w:val="00B82A14"/>
    <w:rsid w:val="00B83FAE"/>
    <w:rsid w:val="00B867E6"/>
    <w:rsid w:val="00BA6333"/>
    <w:rsid w:val="00BB50E2"/>
    <w:rsid w:val="00BC3AED"/>
    <w:rsid w:val="00BC47D6"/>
    <w:rsid w:val="00BE4D8D"/>
    <w:rsid w:val="00BF6203"/>
    <w:rsid w:val="00C0115D"/>
    <w:rsid w:val="00C107B0"/>
    <w:rsid w:val="00C10C0F"/>
    <w:rsid w:val="00C417BA"/>
    <w:rsid w:val="00C5730E"/>
    <w:rsid w:val="00C615D1"/>
    <w:rsid w:val="00C7481A"/>
    <w:rsid w:val="00CA001A"/>
    <w:rsid w:val="00CB1A20"/>
    <w:rsid w:val="00D1221C"/>
    <w:rsid w:val="00D26F1A"/>
    <w:rsid w:val="00D64C93"/>
    <w:rsid w:val="00D92543"/>
    <w:rsid w:val="00DA464E"/>
    <w:rsid w:val="00DB2680"/>
    <w:rsid w:val="00DE74D1"/>
    <w:rsid w:val="00E153D6"/>
    <w:rsid w:val="00E155D7"/>
    <w:rsid w:val="00E36CAE"/>
    <w:rsid w:val="00E425E1"/>
    <w:rsid w:val="00E50178"/>
    <w:rsid w:val="00E53FA5"/>
    <w:rsid w:val="00E6057D"/>
    <w:rsid w:val="00E74741"/>
    <w:rsid w:val="00E81D88"/>
    <w:rsid w:val="00E8565C"/>
    <w:rsid w:val="00EA7E31"/>
    <w:rsid w:val="00EB4FD9"/>
    <w:rsid w:val="00EC2308"/>
    <w:rsid w:val="00EC749A"/>
    <w:rsid w:val="00F10CD9"/>
    <w:rsid w:val="00F16F9C"/>
    <w:rsid w:val="00F268F1"/>
    <w:rsid w:val="00F30B6E"/>
    <w:rsid w:val="00F66D4F"/>
    <w:rsid w:val="00F67F82"/>
    <w:rsid w:val="00F71FB9"/>
    <w:rsid w:val="00F77EEC"/>
    <w:rsid w:val="00F80F42"/>
    <w:rsid w:val="00F930BA"/>
    <w:rsid w:val="00FB63E8"/>
    <w:rsid w:val="00FB70A3"/>
    <w:rsid w:val="00FF016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ECA6EA"/>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04B52"/>
    <w:pPr>
      <w:autoSpaceDE w:val="0"/>
      <w:autoSpaceDN w:val="0"/>
    </w:pPr>
    <w:rPr>
      <w:rFonts w:ascii="Arial" w:hAnsi="Arial"/>
      <w:sz w:val="22"/>
      <w:szCs w:val="24"/>
      <w:lang w:bidi="en-US"/>
    </w:rPr>
  </w:style>
  <w:style w:type="paragraph" w:styleId="Heading1">
    <w:name w:val="heading 1"/>
    <w:basedOn w:val="Normal"/>
    <w:next w:val="Normal"/>
    <w:link w:val="Heading1Char"/>
    <w:qFormat/>
    <w:rsid w:val="00D640CC"/>
    <w:pPr>
      <w:jc w:val="center"/>
      <w:outlineLvl w:val="0"/>
    </w:pPr>
    <w:rPr>
      <w:rFonts w:cs="Arial"/>
      <w:b/>
      <w:bCs/>
      <w:szCs w:val="22"/>
    </w:rPr>
  </w:style>
  <w:style w:type="paragraph" w:styleId="Heading2">
    <w:name w:val="heading 2"/>
    <w:basedOn w:val="Normal"/>
    <w:next w:val="Normal"/>
    <w:link w:val="Heading2Char"/>
    <w:qFormat/>
    <w:rsid w:val="00D640CC"/>
    <w:pPr>
      <w:keepNext/>
      <w:jc w:val="center"/>
      <w:outlineLvl w:val="1"/>
    </w:pPr>
    <w:rPr>
      <w:rFonts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rsid w:val="00D640CC"/>
    <w:pPr>
      <w:tabs>
        <w:tab w:val="num" w:pos="360"/>
      </w:tabs>
      <w:ind w:left="360" w:hanging="360"/>
    </w:pPr>
    <w:rPr>
      <w:rFonts w:ascii="Times" w:hAnsi="Times" w:cs="Times"/>
    </w:rPr>
  </w:style>
  <w:style w:type="paragraph" w:styleId="ListBullet2">
    <w:name w:val="List Bullet 2"/>
    <w:basedOn w:val="Normal"/>
    <w:rsid w:val="00D640CC"/>
    <w:pPr>
      <w:tabs>
        <w:tab w:val="num" w:pos="720"/>
      </w:tabs>
      <w:ind w:left="720" w:hanging="360"/>
    </w:pPr>
    <w:rPr>
      <w:rFonts w:ascii="Times" w:hAnsi="Times" w:cs="Times"/>
    </w:rPr>
  </w:style>
  <w:style w:type="paragraph" w:styleId="ListBullet3">
    <w:name w:val="List Bullet 3"/>
    <w:basedOn w:val="Normal"/>
    <w:rsid w:val="00D640CC"/>
    <w:pPr>
      <w:tabs>
        <w:tab w:val="num" w:pos="1080"/>
      </w:tabs>
      <w:ind w:left="1080" w:hanging="360"/>
    </w:pPr>
    <w:rPr>
      <w:rFonts w:ascii="Times" w:hAnsi="Times" w:cs="Times"/>
    </w:rPr>
  </w:style>
  <w:style w:type="paragraph" w:styleId="ListBullet4">
    <w:name w:val="List Bullet 4"/>
    <w:basedOn w:val="Normal"/>
    <w:rsid w:val="00D640CC"/>
    <w:pPr>
      <w:tabs>
        <w:tab w:val="num" w:pos="1440"/>
      </w:tabs>
      <w:ind w:left="1440" w:hanging="360"/>
    </w:pPr>
    <w:rPr>
      <w:rFonts w:ascii="Times" w:hAnsi="Times" w:cs="Times"/>
    </w:rPr>
  </w:style>
  <w:style w:type="paragraph" w:styleId="ListBullet5">
    <w:name w:val="List Bullet 5"/>
    <w:basedOn w:val="Normal"/>
    <w:rsid w:val="00D640CC"/>
    <w:pPr>
      <w:tabs>
        <w:tab w:val="num" w:pos="1800"/>
      </w:tabs>
      <w:ind w:left="1800" w:hanging="360"/>
    </w:pPr>
    <w:rPr>
      <w:rFonts w:ascii="Times" w:hAnsi="Times" w:cs="Times"/>
    </w:rPr>
  </w:style>
  <w:style w:type="paragraph" w:styleId="ListNumber">
    <w:name w:val="List Number"/>
    <w:basedOn w:val="Normal"/>
    <w:rsid w:val="00D640CC"/>
    <w:pPr>
      <w:tabs>
        <w:tab w:val="num" w:pos="360"/>
      </w:tabs>
      <w:ind w:left="360" w:hanging="360"/>
    </w:pPr>
    <w:rPr>
      <w:rFonts w:ascii="Times" w:hAnsi="Times" w:cs="Times"/>
    </w:rPr>
  </w:style>
  <w:style w:type="paragraph" w:styleId="ListNumber2">
    <w:name w:val="List Number 2"/>
    <w:basedOn w:val="Normal"/>
    <w:rsid w:val="00D640CC"/>
    <w:pPr>
      <w:tabs>
        <w:tab w:val="num" w:pos="720"/>
      </w:tabs>
      <w:ind w:left="720" w:hanging="360"/>
    </w:pPr>
    <w:rPr>
      <w:rFonts w:ascii="Times" w:hAnsi="Times" w:cs="Times"/>
    </w:rPr>
  </w:style>
  <w:style w:type="paragraph" w:styleId="ListNumber3">
    <w:name w:val="List Number 3"/>
    <w:basedOn w:val="Normal"/>
    <w:rsid w:val="00D640CC"/>
    <w:pPr>
      <w:tabs>
        <w:tab w:val="num" w:pos="1080"/>
      </w:tabs>
      <w:ind w:left="1080" w:hanging="360"/>
    </w:pPr>
    <w:rPr>
      <w:rFonts w:ascii="Times" w:hAnsi="Times" w:cs="Times"/>
    </w:rPr>
  </w:style>
  <w:style w:type="paragraph" w:styleId="ListNumber4">
    <w:name w:val="List Number 4"/>
    <w:basedOn w:val="Normal"/>
    <w:rsid w:val="00D640CC"/>
    <w:pPr>
      <w:tabs>
        <w:tab w:val="num" w:pos="1440"/>
      </w:tabs>
      <w:ind w:left="1440" w:hanging="360"/>
    </w:pPr>
    <w:rPr>
      <w:rFonts w:ascii="Times" w:hAnsi="Times" w:cs="Times"/>
    </w:rPr>
  </w:style>
  <w:style w:type="paragraph" w:styleId="ListNumber5">
    <w:name w:val="List Number 5"/>
    <w:basedOn w:val="Normal"/>
    <w:rsid w:val="00D640CC"/>
    <w:pPr>
      <w:tabs>
        <w:tab w:val="num" w:pos="1800"/>
      </w:tabs>
      <w:ind w:left="1800" w:hanging="360"/>
    </w:pPr>
    <w:rPr>
      <w:rFonts w:ascii="Times" w:hAnsi="Times" w:cs="Times"/>
    </w:rPr>
  </w:style>
  <w:style w:type="paragraph" w:customStyle="1" w:styleId="QuickA">
    <w:name w:val="Quick A."/>
    <w:basedOn w:val="Normal"/>
    <w:rsid w:val="00D640CC"/>
    <w:pPr>
      <w:widowControl w:val="0"/>
      <w:ind w:left="720" w:hanging="720"/>
    </w:pPr>
  </w:style>
  <w:style w:type="paragraph" w:customStyle="1" w:styleId="ReminderList1">
    <w:name w:val="Reminder List 1"/>
    <w:basedOn w:val="Normal"/>
    <w:rsid w:val="00D640CC"/>
    <w:pPr>
      <w:tabs>
        <w:tab w:val="left" w:pos="360"/>
        <w:tab w:val="num" w:pos="540"/>
      </w:tabs>
      <w:spacing w:after="120" w:line="260" w:lineRule="atLeast"/>
      <w:ind w:left="360" w:hanging="360"/>
    </w:pPr>
    <w:rPr>
      <w:rFonts w:ascii="Helvetica" w:hAnsi="Helvetica" w:cs="Helvetica"/>
      <w:b/>
      <w:bCs/>
      <w:color w:val="000000"/>
      <w:szCs w:val="22"/>
    </w:rPr>
  </w:style>
  <w:style w:type="paragraph" w:customStyle="1" w:styleId="ReminderList2">
    <w:name w:val="Reminder List 2"/>
    <w:basedOn w:val="Normal"/>
    <w:rsid w:val="00D640CC"/>
    <w:pPr>
      <w:tabs>
        <w:tab w:val="left" w:pos="720"/>
        <w:tab w:val="num" w:pos="1800"/>
      </w:tabs>
      <w:spacing w:after="60" w:line="260" w:lineRule="atLeast"/>
      <w:ind w:left="749" w:hanging="360"/>
    </w:pPr>
    <w:rPr>
      <w:rFonts w:ascii="Helvetica" w:hAnsi="Helvetica" w:cs="Helvetica"/>
      <w:color w:val="000000"/>
      <w:szCs w:val="22"/>
    </w:rPr>
  </w:style>
  <w:style w:type="paragraph" w:customStyle="1" w:styleId="ReminderList3">
    <w:name w:val="Reminder List 3"/>
    <w:basedOn w:val="Normal"/>
    <w:rsid w:val="00D640CC"/>
    <w:pPr>
      <w:tabs>
        <w:tab w:val="num" w:pos="720"/>
        <w:tab w:val="left" w:pos="1080"/>
      </w:tabs>
      <w:spacing w:after="60"/>
      <w:ind w:left="1080" w:hanging="360"/>
    </w:pPr>
    <w:rPr>
      <w:rFonts w:ascii="Helvetica" w:hAnsi="Helvetica" w:cs="Helvetica"/>
      <w:szCs w:val="22"/>
    </w:rPr>
  </w:style>
  <w:style w:type="paragraph" w:styleId="BodyTextIndent">
    <w:name w:val="Body Text Indent"/>
    <w:basedOn w:val="Normal"/>
    <w:rsid w:val="00D640CC"/>
    <w:pPr>
      <w:ind w:left="720"/>
      <w:jc w:val="both"/>
    </w:pPr>
    <w:rPr>
      <w:rFonts w:cs="Arial"/>
      <w:color w:val="FF0000"/>
      <w:sz w:val="20"/>
      <w:szCs w:val="20"/>
    </w:rPr>
  </w:style>
  <w:style w:type="character" w:customStyle="1" w:styleId="BodyTextIndentChar">
    <w:name w:val="Body Text Indent Char"/>
    <w:rsid w:val="00EF4C32"/>
    <w:rPr>
      <w:rFonts w:ascii="Arial" w:hAnsi="Arial" w:cs="Arial"/>
      <w:color w:val="FF0000"/>
    </w:rPr>
  </w:style>
  <w:style w:type="paragraph" w:styleId="NormalWeb">
    <w:name w:val="Normal (Web)"/>
    <w:basedOn w:val="Normal"/>
    <w:rsid w:val="00D640CC"/>
    <w:pPr>
      <w:autoSpaceDE/>
      <w:autoSpaceDN/>
      <w:spacing w:before="100" w:beforeAutospacing="1" w:after="100" w:afterAutospacing="1"/>
    </w:pPr>
  </w:style>
  <w:style w:type="paragraph" w:styleId="Header">
    <w:name w:val="header"/>
    <w:basedOn w:val="Normal"/>
    <w:link w:val="HeaderChar"/>
    <w:rsid w:val="00D640CC"/>
    <w:pPr>
      <w:tabs>
        <w:tab w:val="center" w:pos="4320"/>
        <w:tab w:val="right" w:pos="8640"/>
      </w:tabs>
    </w:pPr>
  </w:style>
  <w:style w:type="paragraph" w:customStyle="1" w:styleId="DataField10pt">
    <w:name w:val="Data Field 10pt"/>
    <w:basedOn w:val="Normal"/>
    <w:rsid w:val="00D640CC"/>
    <w:rPr>
      <w:rFonts w:cs="Arial"/>
      <w:sz w:val="20"/>
      <w:szCs w:val="20"/>
    </w:rPr>
  </w:style>
  <w:style w:type="paragraph" w:customStyle="1" w:styleId="DataField11pt-Single">
    <w:name w:val="Data Field 11pt-Single"/>
    <w:basedOn w:val="Normal"/>
    <w:rsid w:val="00CF68A2"/>
    <w:rPr>
      <w:rFonts w:cs="Arial"/>
      <w:szCs w:val="20"/>
    </w:rPr>
  </w:style>
  <w:style w:type="character" w:customStyle="1" w:styleId="DataField11pt-SingleChar">
    <w:name w:val="Data Field 11pt-Single Char"/>
    <w:rsid w:val="00843027"/>
    <w:rPr>
      <w:rFonts w:ascii="Arial" w:hAnsi="Arial" w:cs="Arial"/>
      <w:sz w:val="22"/>
      <w:lang w:val="en-US" w:eastAsia="en-US"/>
    </w:rPr>
  </w:style>
  <w:style w:type="paragraph" w:styleId="Footer">
    <w:name w:val="footer"/>
    <w:basedOn w:val="Normal"/>
    <w:link w:val="FooterChar"/>
    <w:semiHidden/>
    <w:rsid w:val="00D640CC"/>
    <w:pPr>
      <w:tabs>
        <w:tab w:val="center" w:pos="4320"/>
        <w:tab w:val="right" w:pos="8640"/>
      </w:tabs>
    </w:pPr>
  </w:style>
  <w:style w:type="character" w:styleId="PageNumber">
    <w:name w:val="page number"/>
    <w:rsid w:val="00D640CC"/>
    <w:rPr>
      <w:rFonts w:ascii="Arial" w:hAnsi="Arial" w:cs="Times New Roman"/>
      <w:sz w:val="20"/>
      <w:u w:val="single"/>
    </w:rPr>
  </w:style>
  <w:style w:type="paragraph" w:customStyle="1" w:styleId="FormFooter">
    <w:name w:val="Form Footer"/>
    <w:basedOn w:val="Normal"/>
    <w:rsid w:val="00D640CC"/>
    <w:pPr>
      <w:tabs>
        <w:tab w:val="center" w:pos="5328"/>
        <w:tab w:val="right" w:pos="10728"/>
      </w:tabs>
      <w:ind w:left="58"/>
    </w:pPr>
    <w:rPr>
      <w:rFonts w:cs="Arial"/>
      <w:sz w:val="16"/>
      <w:szCs w:val="16"/>
    </w:rPr>
  </w:style>
  <w:style w:type="paragraph" w:customStyle="1" w:styleId="FormFooterBorder">
    <w:name w:val="FormFooter/Border"/>
    <w:basedOn w:val="Footer"/>
    <w:rsid w:val="00D640CC"/>
    <w:pPr>
      <w:pBdr>
        <w:top w:val="single" w:sz="6" w:space="1" w:color="auto"/>
      </w:pBdr>
      <w:tabs>
        <w:tab w:val="clear" w:pos="4320"/>
        <w:tab w:val="clear" w:pos="8640"/>
        <w:tab w:val="center" w:pos="5400"/>
        <w:tab w:val="right" w:pos="10800"/>
      </w:tabs>
    </w:pPr>
    <w:rPr>
      <w:rFonts w:cs="Arial"/>
      <w:sz w:val="16"/>
      <w:szCs w:val="16"/>
    </w:rPr>
  </w:style>
  <w:style w:type="paragraph" w:customStyle="1" w:styleId="HeadingNote">
    <w:name w:val="Heading Note"/>
    <w:basedOn w:val="Normal"/>
    <w:rsid w:val="00D640CC"/>
    <w:pPr>
      <w:spacing w:before="40" w:after="40"/>
      <w:jc w:val="center"/>
    </w:pPr>
    <w:rPr>
      <w:rFonts w:cs="Arial"/>
      <w:i/>
      <w:iCs/>
      <w:sz w:val="16"/>
      <w:szCs w:val="16"/>
    </w:rPr>
  </w:style>
  <w:style w:type="paragraph" w:customStyle="1" w:styleId="NameofApplicant">
    <w:name w:val="Name of Applicant"/>
    <w:basedOn w:val="Normal"/>
    <w:rsid w:val="00D640CC"/>
    <w:rPr>
      <w:rFonts w:cs="Arial"/>
      <w:sz w:val="16"/>
      <w:szCs w:val="15"/>
    </w:rPr>
  </w:style>
  <w:style w:type="paragraph" w:customStyle="1" w:styleId="FormFieldCaption">
    <w:name w:val="Form Field Caption"/>
    <w:basedOn w:val="Normal"/>
    <w:rsid w:val="00D640CC"/>
    <w:pPr>
      <w:tabs>
        <w:tab w:val="left" w:pos="270"/>
      </w:tabs>
    </w:pPr>
    <w:rPr>
      <w:rFonts w:cs="Arial"/>
      <w:sz w:val="16"/>
      <w:szCs w:val="16"/>
    </w:rPr>
  </w:style>
  <w:style w:type="paragraph" w:customStyle="1" w:styleId="FormFieldCaption7pt">
    <w:name w:val="Form Field Caption 7pt"/>
    <w:basedOn w:val="Normal"/>
    <w:rsid w:val="00D640CC"/>
    <w:pPr>
      <w:tabs>
        <w:tab w:val="left" w:pos="252"/>
      </w:tabs>
    </w:pPr>
    <w:rPr>
      <w:rFonts w:cs="Arial"/>
      <w:sz w:val="14"/>
      <w:szCs w:val="14"/>
    </w:rPr>
  </w:style>
  <w:style w:type="paragraph" w:customStyle="1" w:styleId="PIHeader">
    <w:name w:val="PI Header"/>
    <w:basedOn w:val="Normal"/>
    <w:rsid w:val="00D640CC"/>
    <w:pPr>
      <w:spacing w:after="40"/>
      <w:ind w:left="864"/>
    </w:pPr>
    <w:rPr>
      <w:rFonts w:cs="Arial"/>
      <w:noProof/>
      <w:sz w:val="16"/>
      <w:szCs w:val="20"/>
    </w:rPr>
  </w:style>
  <w:style w:type="paragraph" w:customStyle="1" w:styleId="HeadNoteNotItalics">
    <w:name w:val="HeadNoteNotItalics"/>
    <w:basedOn w:val="HeadingNote"/>
    <w:rsid w:val="00D640CC"/>
    <w:rPr>
      <w:i w:val="0"/>
    </w:rPr>
  </w:style>
  <w:style w:type="character" w:styleId="Hyperlink">
    <w:name w:val="Hyperlink"/>
    <w:rsid w:val="00E67A05"/>
    <w:rPr>
      <w:rFonts w:cs="Times New Roman"/>
      <w:color w:val="0000FF"/>
      <w:u w:val="single"/>
    </w:rPr>
  </w:style>
  <w:style w:type="paragraph" w:styleId="Subtitle">
    <w:name w:val="Subtitle"/>
    <w:basedOn w:val="Normal"/>
    <w:next w:val="Normal"/>
    <w:qFormat/>
    <w:rsid w:val="00781234"/>
    <w:pPr>
      <w:keepNext/>
      <w:spacing w:before="360" w:after="120"/>
      <w:outlineLvl w:val="1"/>
    </w:pPr>
    <w:rPr>
      <w:b/>
    </w:rPr>
  </w:style>
  <w:style w:type="character" w:customStyle="1" w:styleId="SubtitleChar">
    <w:name w:val="Subtitle Char"/>
    <w:rsid w:val="00781234"/>
    <w:rPr>
      <w:rFonts w:ascii="Arial" w:hAnsi="Arial" w:cs="Times New Roman"/>
      <w:b/>
      <w:sz w:val="24"/>
    </w:rPr>
  </w:style>
  <w:style w:type="character" w:styleId="Strong">
    <w:name w:val="Strong"/>
    <w:qFormat/>
    <w:rsid w:val="00E67A05"/>
    <w:rPr>
      <w:rFonts w:cs="Times New Roman"/>
      <w:b/>
      <w:bCs/>
    </w:rPr>
  </w:style>
  <w:style w:type="character" w:styleId="Emphasis">
    <w:name w:val="Emphasis"/>
    <w:qFormat/>
    <w:rsid w:val="00EF4C32"/>
    <w:rPr>
      <w:rFonts w:cs="Times New Roman"/>
      <w:i/>
      <w:iCs/>
    </w:rPr>
  </w:style>
  <w:style w:type="paragraph" w:customStyle="1" w:styleId="Subtitle2">
    <w:name w:val="Subtitle 2"/>
    <w:basedOn w:val="Subtitle"/>
    <w:rsid w:val="00781234"/>
    <w:pPr>
      <w:spacing w:before="240" w:after="0"/>
    </w:pPr>
    <w:rPr>
      <w:bCs/>
      <w:szCs w:val="20"/>
      <w:u w:val="single"/>
    </w:rPr>
  </w:style>
  <w:style w:type="paragraph" w:customStyle="1" w:styleId="DataField11pt">
    <w:name w:val="Data Field 11pt"/>
    <w:basedOn w:val="Normal"/>
    <w:rsid w:val="00471A14"/>
    <w:pPr>
      <w:spacing w:line="300" w:lineRule="exact"/>
    </w:pPr>
    <w:rPr>
      <w:rFonts w:cs="Arial"/>
      <w:szCs w:val="20"/>
      <w:lang w:bidi="ar-SA"/>
    </w:rPr>
  </w:style>
  <w:style w:type="paragraph" w:styleId="BodyTextIndent2">
    <w:name w:val="Body Text Indent 2"/>
    <w:basedOn w:val="Normal"/>
    <w:link w:val="BodyTextIndent2Char"/>
    <w:rsid w:val="00471A14"/>
    <w:pPr>
      <w:spacing w:after="120" w:line="480" w:lineRule="auto"/>
      <w:ind w:left="360"/>
    </w:pPr>
  </w:style>
  <w:style w:type="character" w:customStyle="1" w:styleId="Heading1Char">
    <w:name w:val="Heading 1 Char"/>
    <w:link w:val="Heading1"/>
    <w:rsid w:val="00A344B3"/>
    <w:rPr>
      <w:rFonts w:ascii="Arial" w:hAnsi="Arial" w:cs="Arial"/>
      <w:b/>
      <w:bCs/>
      <w:sz w:val="22"/>
      <w:szCs w:val="22"/>
      <w:lang w:bidi="en-US"/>
    </w:rPr>
  </w:style>
  <w:style w:type="character" w:customStyle="1" w:styleId="Heading2Char">
    <w:name w:val="Heading 2 Char"/>
    <w:link w:val="Heading2"/>
    <w:rsid w:val="00A344B3"/>
    <w:rPr>
      <w:rFonts w:ascii="Arial" w:hAnsi="Arial" w:cs="Arial"/>
      <w:b/>
      <w:bCs/>
      <w:sz w:val="28"/>
      <w:szCs w:val="28"/>
      <w:lang w:bidi="en-US"/>
    </w:rPr>
  </w:style>
  <w:style w:type="character" w:customStyle="1" w:styleId="HeaderChar">
    <w:name w:val="Header Char"/>
    <w:link w:val="Header"/>
    <w:rsid w:val="00A344B3"/>
    <w:rPr>
      <w:rFonts w:ascii="Arial" w:hAnsi="Arial"/>
      <w:sz w:val="22"/>
      <w:szCs w:val="24"/>
      <w:lang w:bidi="en-US"/>
    </w:rPr>
  </w:style>
  <w:style w:type="character" w:customStyle="1" w:styleId="FooterChar">
    <w:name w:val="Footer Char"/>
    <w:link w:val="Footer"/>
    <w:semiHidden/>
    <w:rsid w:val="00A344B3"/>
    <w:rPr>
      <w:rFonts w:ascii="Arial" w:hAnsi="Arial"/>
      <w:sz w:val="22"/>
      <w:szCs w:val="24"/>
      <w:lang w:bidi="en-US"/>
    </w:rPr>
  </w:style>
  <w:style w:type="character" w:customStyle="1" w:styleId="BodyTextIndent2Char">
    <w:name w:val="Body Text Indent 2 Char"/>
    <w:link w:val="BodyTextIndent2"/>
    <w:rsid w:val="00A344B3"/>
    <w:rPr>
      <w:rFonts w:ascii="Arial" w:hAnsi="Arial"/>
      <w:sz w:val="22"/>
      <w:szCs w:val="24"/>
      <w:lang w:bidi="en-US"/>
    </w:rPr>
  </w:style>
  <w:style w:type="character" w:customStyle="1" w:styleId="btext">
    <w:name w:val="btext"/>
    <w:rsid w:val="004E1E3C"/>
  </w:style>
  <w:style w:type="paragraph" w:styleId="CommentText">
    <w:name w:val="annotation text"/>
    <w:basedOn w:val="Normal"/>
    <w:link w:val="CommentTextChar"/>
    <w:rsid w:val="004D3D30"/>
    <w:rPr>
      <w:sz w:val="20"/>
      <w:szCs w:val="20"/>
      <w:lang w:bidi="ar-SA"/>
    </w:rPr>
  </w:style>
  <w:style w:type="character" w:customStyle="1" w:styleId="CommentTextChar">
    <w:name w:val="Comment Text Char"/>
    <w:basedOn w:val="DefaultParagraphFont"/>
    <w:link w:val="CommentText"/>
    <w:rsid w:val="004D3D30"/>
    <w:rPr>
      <w:rFonts w:ascii="Arial" w:hAnsi="Arial"/>
    </w:rPr>
  </w:style>
  <w:style w:type="character" w:customStyle="1" w:styleId="highlight1">
    <w:name w:val="highlight1"/>
    <w:rsid w:val="004D3D30"/>
    <w:rPr>
      <w:shd w:val="clear" w:color="auto" w:fill="F2F5F8"/>
    </w:rPr>
  </w:style>
  <w:style w:type="paragraph" w:styleId="ListParagraph">
    <w:name w:val="List Paragraph"/>
    <w:basedOn w:val="Normal"/>
    <w:uiPriority w:val="34"/>
    <w:qFormat/>
    <w:rsid w:val="004D3D30"/>
    <w:pPr>
      <w:ind w:left="720"/>
    </w:pPr>
    <w:rPr>
      <w:lang w:bidi="ar-SA"/>
    </w:rPr>
  </w:style>
  <w:style w:type="paragraph" w:styleId="NoSpacing">
    <w:name w:val="No Spacing"/>
    <w:link w:val="NoSpacingChar"/>
    <w:uiPriority w:val="1"/>
    <w:qFormat/>
    <w:rsid w:val="001251E7"/>
    <w:rPr>
      <w:rFonts w:asciiTheme="minorHAnsi" w:eastAsiaTheme="minorHAnsi" w:hAnsiTheme="minorHAnsi" w:cstheme="minorBidi"/>
      <w:sz w:val="22"/>
      <w:szCs w:val="22"/>
    </w:rPr>
  </w:style>
  <w:style w:type="character" w:customStyle="1" w:styleId="NoSpacingChar">
    <w:name w:val="No Spacing Char"/>
    <w:basedOn w:val="DefaultParagraphFont"/>
    <w:link w:val="NoSpacing"/>
    <w:uiPriority w:val="1"/>
    <w:rsid w:val="001251E7"/>
    <w:rPr>
      <w:rFonts w:asciiTheme="minorHAnsi" w:eastAsiaTheme="minorHAnsi" w:hAnsiTheme="minorHAnsi" w:cstheme="minorBidi"/>
      <w:sz w:val="22"/>
      <w:szCs w:val="22"/>
    </w:rPr>
  </w:style>
  <w:style w:type="paragraph" w:customStyle="1" w:styleId="body">
    <w:name w:val="body"/>
    <w:basedOn w:val="Normal"/>
    <w:rsid w:val="002F723F"/>
    <w:pPr>
      <w:widowControl w:val="0"/>
      <w:autoSpaceDE/>
      <w:autoSpaceDN/>
      <w:ind w:firstLine="720"/>
    </w:pPr>
    <w:rPr>
      <w:rFonts w:ascii="Times New Roman" w:hAnsi="Times New Roman"/>
      <w:noProof/>
      <w:sz w:val="24"/>
      <w:szCs w:val="20"/>
      <w:lang w:bidi="ar-SA"/>
    </w:rPr>
  </w:style>
  <w:style w:type="character" w:styleId="FollowedHyperlink">
    <w:name w:val="FollowedHyperlink"/>
    <w:basedOn w:val="DefaultParagraphFont"/>
    <w:uiPriority w:val="99"/>
    <w:semiHidden/>
    <w:unhideWhenUsed/>
    <w:rsid w:val="003E5367"/>
    <w:rPr>
      <w:color w:val="800080" w:themeColor="followedHyperlink"/>
      <w:u w:val="single"/>
    </w:rPr>
  </w:style>
  <w:style w:type="paragraph" w:customStyle="1" w:styleId="FormFieldCaption1">
    <w:name w:val="Form Field Caption1"/>
    <w:basedOn w:val="FormFieldCaption"/>
    <w:qFormat/>
    <w:rsid w:val="00C417BA"/>
    <w:pPr>
      <w:spacing w:after="160"/>
    </w:pPr>
    <w:rPr>
      <w:lang w:bidi="ar-SA"/>
    </w:rPr>
  </w:style>
  <w:style w:type="table" w:styleId="TableGrid">
    <w:name w:val="Table Grid"/>
    <w:basedOn w:val="TableNormal"/>
    <w:rsid w:val="00C41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C417BA"/>
    <w:rPr>
      <w:sz w:val="16"/>
      <w:szCs w:val="16"/>
    </w:rPr>
  </w:style>
  <w:style w:type="paragraph" w:customStyle="1" w:styleId="OMBInfo">
    <w:name w:val="OMB Info"/>
    <w:basedOn w:val="Normal"/>
    <w:qFormat/>
    <w:rsid w:val="00C417BA"/>
    <w:pPr>
      <w:spacing w:after="120"/>
      <w:jc w:val="right"/>
    </w:pPr>
    <w:rPr>
      <w:sz w:val="16"/>
      <w:lang w:bidi="ar-SA"/>
    </w:rPr>
  </w:style>
  <w:style w:type="paragraph" w:styleId="Title">
    <w:name w:val="Title"/>
    <w:basedOn w:val="Normal"/>
    <w:next w:val="Normal"/>
    <w:link w:val="TitleChar"/>
    <w:qFormat/>
    <w:rsid w:val="00C417BA"/>
    <w:pPr>
      <w:pBdr>
        <w:top w:val="single" w:sz="4" w:space="1" w:color="auto"/>
      </w:pBdr>
      <w:jc w:val="center"/>
      <w:outlineLvl w:val="0"/>
    </w:pPr>
    <w:rPr>
      <w:rFonts w:cs="Arial"/>
      <w:b/>
      <w:bCs/>
      <w:szCs w:val="22"/>
      <w:lang w:bidi="ar-SA"/>
    </w:rPr>
  </w:style>
  <w:style w:type="character" w:customStyle="1" w:styleId="TitleChar">
    <w:name w:val="Title Char"/>
    <w:basedOn w:val="DefaultParagraphFont"/>
    <w:link w:val="Title"/>
    <w:rsid w:val="00C417BA"/>
    <w:rPr>
      <w:rFonts w:ascii="Arial"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mc/articles/PMC4089950/?tool=nihm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cbi.nlm.nih.gov/sites/myncbi/amato.giaccia.1/bibliography/40637446/public/?sort=date&amp;direction=ascend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84EF4-07A9-3B45-AEDC-94F9E2FD7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5</Pages>
  <Words>2661</Words>
  <Characters>15171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BIOGRAPHICAL SKETCH</vt:lpstr>
    </vt:vector>
  </TitlesOfParts>
  <Company>Stanford University</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BIOGRAPHICAL SKETCH</dc:title>
  <dc:subject/>
  <dc:creator>Sharon Clarke</dc:creator>
  <cp:keywords/>
  <cp:lastModifiedBy>Sharon R. Clarke</cp:lastModifiedBy>
  <cp:revision>13</cp:revision>
  <cp:lastPrinted>2016-08-03T22:45:00Z</cp:lastPrinted>
  <dcterms:created xsi:type="dcterms:W3CDTF">2019-05-21T20:21:00Z</dcterms:created>
  <dcterms:modified xsi:type="dcterms:W3CDTF">2022-01-07T01:40:00Z</dcterms:modified>
</cp:coreProperties>
</file>