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F9695F6"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CE292E" w:rsidRPr="00CE292E">
        <w:rPr>
          <w:b/>
          <w:sz w:val="22"/>
        </w:rPr>
        <w:t>Graham, Laura Ansley</w:t>
      </w:r>
    </w:p>
    <w:p w14:paraId="7FFF41C1" w14:textId="391CB019"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CE292E">
        <w:rPr>
          <w:sz w:val="22"/>
        </w:rPr>
        <w:tab/>
      </w:r>
      <w:r w:rsidR="00CE292E" w:rsidRPr="00CE292E">
        <w:rPr>
          <w:b/>
          <w:sz w:val="22"/>
        </w:rPr>
        <w:t>LAG1234</w:t>
      </w:r>
    </w:p>
    <w:p w14:paraId="74873D9A" w14:textId="2360E9B3" w:rsidR="002B7443" w:rsidRPr="00CE292E" w:rsidRDefault="00E047AD" w:rsidP="002B7443">
      <w:pPr>
        <w:pStyle w:val="FormFieldCaption1"/>
        <w:pBdr>
          <w:between w:val="single" w:sz="4" w:space="1" w:color="auto"/>
        </w:pBdr>
        <w:rPr>
          <w:b/>
          <w:sz w:val="32"/>
        </w:rPr>
      </w:pPr>
      <w:r w:rsidRPr="00D3779E">
        <w:rPr>
          <w:sz w:val="22"/>
        </w:rPr>
        <w:t>POSITION TITLE</w:t>
      </w:r>
      <w:r w:rsidR="002B7443" w:rsidRPr="00D3779E">
        <w:rPr>
          <w:sz w:val="22"/>
        </w:rPr>
        <w:t>:</w:t>
      </w:r>
      <w:r w:rsidR="00CE292E">
        <w:rPr>
          <w:sz w:val="22"/>
        </w:rPr>
        <w:tab/>
      </w:r>
      <w:r w:rsidR="00CE292E">
        <w:rPr>
          <w:sz w:val="22"/>
        </w:rPr>
        <w:tab/>
      </w:r>
      <w:r w:rsidR="00CE292E">
        <w:rPr>
          <w:b/>
          <w:sz w:val="22"/>
        </w:rPr>
        <w:t>Advanced 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CD5515" w:rsidRDefault="00933173" w:rsidP="000B5732">
            <w:pPr>
              <w:pStyle w:val="FormFieldCaption"/>
              <w:jc w:val="center"/>
              <w:rPr>
                <w:rStyle w:val="Emphasis"/>
                <w:sz w:val="20"/>
              </w:rPr>
            </w:pPr>
            <w:r w:rsidRPr="00CD5515">
              <w:rPr>
                <w:rStyle w:val="Emphasis"/>
                <w:sz w:val="20"/>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CD5515" w:rsidRDefault="00933173" w:rsidP="000B5732">
            <w:pPr>
              <w:pStyle w:val="FormFieldCaption"/>
              <w:jc w:val="center"/>
              <w:rPr>
                <w:sz w:val="20"/>
              </w:rPr>
            </w:pPr>
            <w:r w:rsidRPr="00CD5515">
              <w:rPr>
                <w:sz w:val="20"/>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CE292E" w:rsidRPr="00D3779E" w14:paraId="5CD50646" w14:textId="77777777" w:rsidTr="0025796F">
        <w:trPr>
          <w:cantSplit/>
          <w:trHeight w:val="395"/>
        </w:trPr>
        <w:tc>
          <w:tcPr>
            <w:tcW w:w="5220" w:type="dxa"/>
            <w:tcBorders>
              <w:top w:val="single" w:sz="4" w:space="0" w:color="auto"/>
            </w:tcBorders>
            <w:vAlign w:val="center"/>
          </w:tcPr>
          <w:p w14:paraId="3B0C531B" w14:textId="6F318584" w:rsidR="00CE292E" w:rsidRPr="00CE292E" w:rsidRDefault="00CE292E" w:rsidP="00CE292E">
            <w:pPr>
              <w:pStyle w:val="FormFieldCaption"/>
              <w:spacing w:before="20" w:after="20"/>
              <w:rPr>
                <w:sz w:val="20"/>
                <w:szCs w:val="22"/>
              </w:rPr>
            </w:pPr>
            <w:r w:rsidRPr="00CE292E">
              <w:rPr>
                <w:sz w:val="20"/>
                <w:szCs w:val="22"/>
              </w:rPr>
              <w:t>Valdosta State University, Valdosta, GA</w:t>
            </w:r>
          </w:p>
        </w:tc>
        <w:tc>
          <w:tcPr>
            <w:tcW w:w="1440" w:type="dxa"/>
            <w:tcBorders>
              <w:top w:val="single" w:sz="4" w:space="0" w:color="auto"/>
            </w:tcBorders>
            <w:vAlign w:val="center"/>
          </w:tcPr>
          <w:p w14:paraId="62DD05C1" w14:textId="59DC0812" w:rsidR="00CE292E" w:rsidRPr="00CE292E" w:rsidRDefault="00CE292E" w:rsidP="00CE292E">
            <w:pPr>
              <w:pStyle w:val="FormFieldCaption"/>
              <w:spacing w:before="20" w:after="20"/>
              <w:jc w:val="center"/>
              <w:rPr>
                <w:sz w:val="20"/>
                <w:szCs w:val="22"/>
              </w:rPr>
            </w:pPr>
            <w:r w:rsidRPr="00CE292E">
              <w:rPr>
                <w:sz w:val="20"/>
                <w:szCs w:val="22"/>
              </w:rPr>
              <w:t>B.S.</w:t>
            </w:r>
          </w:p>
        </w:tc>
        <w:tc>
          <w:tcPr>
            <w:tcW w:w="1584" w:type="dxa"/>
            <w:tcBorders>
              <w:top w:val="single" w:sz="4" w:space="0" w:color="auto"/>
            </w:tcBorders>
            <w:vAlign w:val="center"/>
          </w:tcPr>
          <w:p w14:paraId="543299E0" w14:textId="25D54F8D" w:rsidR="00CE292E" w:rsidRPr="00CE292E" w:rsidRDefault="00CD5515" w:rsidP="00CE292E">
            <w:pPr>
              <w:pStyle w:val="FormFieldCaption"/>
              <w:spacing w:before="20" w:after="20"/>
              <w:jc w:val="center"/>
              <w:rPr>
                <w:sz w:val="20"/>
                <w:szCs w:val="22"/>
              </w:rPr>
            </w:pPr>
            <w:r>
              <w:rPr>
                <w:sz w:val="20"/>
                <w:szCs w:val="22"/>
              </w:rPr>
              <w:t>05/</w:t>
            </w:r>
            <w:r w:rsidR="00CE292E" w:rsidRPr="00CE292E">
              <w:rPr>
                <w:sz w:val="20"/>
                <w:szCs w:val="22"/>
              </w:rPr>
              <w:t>2004</w:t>
            </w:r>
          </w:p>
        </w:tc>
        <w:tc>
          <w:tcPr>
            <w:tcW w:w="2592" w:type="dxa"/>
            <w:tcBorders>
              <w:top w:val="single" w:sz="4" w:space="0" w:color="auto"/>
            </w:tcBorders>
            <w:vAlign w:val="center"/>
          </w:tcPr>
          <w:p w14:paraId="7BC5582F" w14:textId="385B6615" w:rsidR="00CE292E" w:rsidRPr="00CE292E" w:rsidRDefault="00CE292E" w:rsidP="00CE292E">
            <w:pPr>
              <w:pStyle w:val="FormFieldCaption"/>
              <w:spacing w:before="20" w:after="20"/>
              <w:rPr>
                <w:sz w:val="20"/>
                <w:szCs w:val="22"/>
              </w:rPr>
            </w:pPr>
            <w:r w:rsidRPr="00CE292E">
              <w:rPr>
                <w:sz w:val="20"/>
                <w:szCs w:val="22"/>
              </w:rPr>
              <w:t>Biology</w:t>
            </w:r>
          </w:p>
        </w:tc>
      </w:tr>
      <w:tr w:rsidR="00CE292E" w:rsidRPr="00D3779E" w14:paraId="1515F345" w14:textId="77777777" w:rsidTr="0025796F">
        <w:trPr>
          <w:cantSplit/>
          <w:trHeight w:val="395"/>
        </w:trPr>
        <w:tc>
          <w:tcPr>
            <w:tcW w:w="5220" w:type="dxa"/>
            <w:vAlign w:val="center"/>
          </w:tcPr>
          <w:p w14:paraId="7DED23E7" w14:textId="2567F50B" w:rsidR="00CE292E" w:rsidRPr="00CE292E" w:rsidRDefault="00CE292E" w:rsidP="00CE292E">
            <w:pPr>
              <w:pStyle w:val="FormFieldCaption"/>
              <w:spacing w:before="20" w:after="20"/>
              <w:rPr>
                <w:sz w:val="20"/>
                <w:szCs w:val="22"/>
              </w:rPr>
            </w:pPr>
            <w:r w:rsidRPr="00CE292E">
              <w:rPr>
                <w:sz w:val="20"/>
                <w:szCs w:val="22"/>
              </w:rPr>
              <w:t>University of Alabama at Birmingham, Birmingham, AL</w:t>
            </w:r>
          </w:p>
        </w:tc>
        <w:tc>
          <w:tcPr>
            <w:tcW w:w="1440" w:type="dxa"/>
            <w:vAlign w:val="center"/>
          </w:tcPr>
          <w:p w14:paraId="0D874BFC" w14:textId="2030706E" w:rsidR="00CE292E" w:rsidRPr="00CE292E" w:rsidRDefault="00CE292E" w:rsidP="00CE292E">
            <w:pPr>
              <w:pStyle w:val="FormFieldCaption"/>
              <w:spacing w:before="20" w:after="20"/>
              <w:jc w:val="center"/>
              <w:rPr>
                <w:sz w:val="20"/>
                <w:szCs w:val="22"/>
              </w:rPr>
            </w:pPr>
            <w:r w:rsidRPr="00CE292E">
              <w:rPr>
                <w:sz w:val="20"/>
                <w:szCs w:val="22"/>
              </w:rPr>
              <w:t>M.P.H</w:t>
            </w:r>
          </w:p>
        </w:tc>
        <w:tc>
          <w:tcPr>
            <w:tcW w:w="1584" w:type="dxa"/>
            <w:vAlign w:val="center"/>
          </w:tcPr>
          <w:p w14:paraId="1A7AA7CA" w14:textId="21F05391" w:rsidR="00CE292E" w:rsidRPr="00CE292E" w:rsidRDefault="00CD5515" w:rsidP="00CE292E">
            <w:pPr>
              <w:pStyle w:val="FormFieldCaption"/>
              <w:spacing w:before="20" w:after="20"/>
              <w:jc w:val="center"/>
              <w:rPr>
                <w:sz w:val="20"/>
                <w:szCs w:val="22"/>
              </w:rPr>
            </w:pPr>
            <w:r>
              <w:rPr>
                <w:sz w:val="20"/>
                <w:szCs w:val="22"/>
              </w:rPr>
              <w:t>05/</w:t>
            </w:r>
            <w:r w:rsidR="00CE292E" w:rsidRPr="00CE292E">
              <w:rPr>
                <w:sz w:val="20"/>
                <w:szCs w:val="22"/>
              </w:rPr>
              <w:t>2006</w:t>
            </w:r>
          </w:p>
        </w:tc>
        <w:tc>
          <w:tcPr>
            <w:tcW w:w="2592" w:type="dxa"/>
            <w:vAlign w:val="center"/>
          </w:tcPr>
          <w:p w14:paraId="4CC74E5C" w14:textId="62751CD7" w:rsidR="00CE292E" w:rsidRPr="00CE292E" w:rsidRDefault="00CE292E" w:rsidP="00CE292E">
            <w:pPr>
              <w:pStyle w:val="FormFieldCaption"/>
              <w:spacing w:before="20" w:after="20"/>
              <w:rPr>
                <w:sz w:val="20"/>
                <w:szCs w:val="22"/>
              </w:rPr>
            </w:pPr>
            <w:r w:rsidRPr="00CE292E">
              <w:rPr>
                <w:sz w:val="20"/>
                <w:szCs w:val="22"/>
              </w:rPr>
              <w:t>Epidemiology</w:t>
            </w:r>
          </w:p>
        </w:tc>
      </w:tr>
      <w:tr w:rsidR="00CE292E" w:rsidRPr="00D3779E" w14:paraId="51E27C1C" w14:textId="77777777" w:rsidTr="0025796F">
        <w:trPr>
          <w:cantSplit/>
          <w:trHeight w:val="395"/>
        </w:trPr>
        <w:tc>
          <w:tcPr>
            <w:tcW w:w="5220" w:type="dxa"/>
            <w:vAlign w:val="center"/>
          </w:tcPr>
          <w:p w14:paraId="66BC8FF0" w14:textId="41E05386" w:rsidR="00CE292E" w:rsidRPr="00CE292E" w:rsidRDefault="00CE292E" w:rsidP="00CE292E">
            <w:pPr>
              <w:pStyle w:val="FormFieldCaption"/>
              <w:spacing w:before="20" w:after="20"/>
              <w:rPr>
                <w:sz w:val="20"/>
                <w:szCs w:val="22"/>
              </w:rPr>
            </w:pPr>
            <w:r w:rsidRPr="00CE292E">
              <w:rPr>
                <w:sz w:val="20"/>
                <w:szCs w:val="22"/>
              </w:rPr>
              <w:t>University of Alabama at Birmingham, Birmingham, AL</w:t>
            </w:r>
          </w:p>
        </w:tc>
        <w:tc>
          <w:tcPr>
            <w:tcW w:w="1440" w:type="dxa"/>
            <w:vAlign w:val="center"/>
          </w:tcPr>
          <w:p w14:paraId="6AEADABA" w14:textId="3AB2086E" w:rsidR="00CE292E" w:rsidRPr="00CE292E" w:rsidRDefault="00CE292E" w:rsidP="00CE292E">
            <w:pPr>
              <w:pStyle w:val="FormFieldCaption"/>
              <w:spacing w:before="20" w:after="20"/>
              <w:jc w:val="center"/>
              <w:rPr>
                <w:sz w:val="20"/>
                <w:szCs w:val="22"/>
              </w:rPr>
            </w:pPr>
            <w:r w:rsidRPr="00CE292E">
              <w:rPr>
                <w:sz w:val="20"/>
                <w:szCs w:val="22"/>
              </w:rPr>
              <w:t>Ph</w:t>
            </w:r>
            <w:r>
              <w:rPr>
                <w:sz w:val="20"/>
                <w:szCs w:val="22"/>
              </w:rPr>
              <w:t>.</w:t>
            </w:r>
            <w:r w:rsidRPr="00CE292E">
              <w:rPr>
                <w:sz w:val="20"/>
                <w:szCs w:val="22"/>
              </w:rPr>
              <w:t>D</w:t>
            </w:r>
            <w:r>
              <w:rPr>
                <w:sz w:val="20"/>
                <w:szCs w:val="22"/>
              </w:rPr>
              <w:t>.</w:t>
            </w:r>
          </w:p>
        </w:tc>
        <w:tc>
          <w:tcPr>
            <w:tcW w:w="1584" w:type="dxa"/>
            <w:vAlign w:val="center"/>
          </w:tcPr>
          <w:p w14:paraId="4ED60B07" w14:textId="1D21A556" w:rsidR="00CE292E" w:rsidRPr="00CE292E" w:rsidRDefault="00CD5515" w:rsidP="00CE292E">
            <w:pPr>
              <w:pStyle w:val="FormFieldCaption"/>
              <w:spacing w:before="20" w:after="20"/>
              <w:jc w:val="center"/>
              <w:rPr>
                <w:sz w:val="20"/>
                <w:szCs w:val="22"/>
              </w:rPr>
            </w:pPr>
            <w:r>
              <w:rPr>
                <w:sz w:val="20"/>
                <w:szCs w:val="22"/>
              </w:rPr>
              <w:t>12/</w:t>
            </w:r>
            <w:r w:rsidR="00CE292E" w:rsidRPr="00CE292E">
              <w:rPr>
                <w:sz w:val="20"/>
                <w:szCs w:val="22"/>
              </w:rPr>
              <w:t>2017</w:t>
            </w:r>
          </w:p>
        </w:tc>
        <w:tc>
          <w:tcPr>
            <w:tcW w:w="2592" w:type="dxa"/>
            <w:vAlign w:val="center"/>
          </w:tcPr>
          <w:p w14:paraId="2303550C" w14:textId="6C43BBB9" w:rsidR="00CE292E" w:rsidRPr="00CE292E" w:rsidRDefault="00CE292E" w:rsidP="00CE292E">
            <w:pPr>
              <w:pStyle w:val="FormFieldCaption"/>
              <w:spacing w:before="20" w:after="20"/>
              <w:rPr>
                <w:sz w:val="20"/>
                <w:szCs w:val="22"/>
              </w:rPr>
            </w:pPr>
            <w:r w:rsidRPr="00CE292E">
              <w:rPr>
                <w:sz w:val="20"/>
                <w:szCs w:val="22"/>
              </w:rPr>
              <w:t>Epidemiology</w:t>
            </w:r>
          </w:p>
        </w:tc>
      </w:tr>
    </w:tbl>
    <w:p w14:paraId="1695BFF0" w14:textId="77777777" w:rsidR="002C51BC" w:rsidRDefault="002C51BC"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48B52145" w14:textId="07BA881D" w:rsidR="00CE292E" w:rsidRPr="00971F3C" w:rsidRDefault="00CE292E" w:rsidP="00CE292E">
      <w:pPr>
        <w:rPr>
          <w:rFonts w:cs="Arial"/>
          <w:noProof/>
          <w:szCs w:val="22"/>
        </w:rPr>
      </w:pPr>
      <w:r>
        <w:rPr>
          <w:rFonts w:cs="Arial"/>
          <w:noProof/>
          <w:szCs w:val="22"/>
        </w:rPr>
        <w:t>I am a h</w:t>
      </w:r>
      <w:r w:rsidRPr="00971F3C">
        <w:rPr>
          <w:rFonts w:cs="Arial"/>
          <w:noProof/>
          <w:szCs w:val="22"/>
        </w:rPr>
        <w:t>ealth services researcher with a wide variety of experience in data management and analysis, including large multi-center health services and outcomes research</w:t>
      </w:r>
      <w:r>
        <w:rPr>
          <w:rFonts w:cs="Arial"/>
          <w:noProof/>
          <w:szCs w:val="22"/>
        </w:rPr>
        <w:t xml:space="preserve"> studies</w:t>
      </w:r>
      <w:r w:rsidRPr="00971F3C">
        <w:rPr>
          <w:rFonts w:cs="Arial"/>
          <w:noProof/>
          <w:szCs w:val="22"/>
        </w:rPr>
        <w:t xml:space="preserve">, provider survey studies, and laboratory-oriented research.  </w:t>
      </w:r>
      <w:r>
        <w:rPr>
          <w:rFonts w:cs="Arial"/>
          <w:noProof/>
          <w:szCs w:val="22"/>
        </w:rPr>
        <w:t xml:space="preserve">My research interest include surgical outcomes research, cardiovascular epidemiology, and patient enagagement.  </w:t>
      </w:r>
      <w:r>
        <w:rPr>
          <w:rFonts w:cs="Arial"/>
          <w:noProof/>
          <w:szCs w:val="22"/>
        </w:rPr>
        <w:t xml:space="preserve">The bulk of my research experience is centered around </w:t>
      </w:r>
      <w:r>
        <w:rPr>
          <w:rFonts w:cs="Arial"/>
          <w:noProof/>
          <w:szCs w:val="22"/>
        </w:rPr>
        <w:t xml:space="preserve">the </w:t>
      </w:r>
      <w:r>
        <w:rPr>
          <w:rFonts w:cs="Arial"/>
          <w:noProof/>
          <w:szCs w:val="22"/>
        </w:rPr>
        <w:t>use and analysis of large administrative datasets collected by the Veterans Health Administration</w:t>
      </w:r>
      <w:r w:rsidRPr="00971F3C">
        <w:rPr>
          <w:rFonts w:cs="Arial"/>
          <w:noProof/>
          <w:szCs w:val="22"/>
        </w:rPr>
        <w:t>.</w:t>
      </w:r>
      <w:r>
        <w:rPr>
          <w:rFonts w:cs="Arial"/>
          <w:noProof/>
          <w:szCs w:val="22"/>
        </w:rPr>
        <w:t xml:space="preserve">  I have been involved in a multitude of</w:t>
      </w:r>
      <w:r>
        <w:rPr>
          <w:rFonts w:cs="Arial"/>
          <w:noProof/>
          <w:szCs w:val="22"/>
        </w:rPr>
        <w:t xml:space="preserve"> Health Services Research &amp; Development</w:t>
      </w:r>
      <w:r>
        <w:rPr>
          <w:rFonts w:cs="Arial"/>
          <w:noProof/>
          <w:szCs w:val="22"/>
        </w:rPr>
        <w:t xml:space="preserve"> funded and unfunded studies using these administrative data to assess surgical outcomes.</w:t>
      </w:r>
      <w:r>
        <w:rPr>
          <w:rFonts w:cs="Arial"/>
          <w:noProof/>
          <w:szCs w:val="22"/>
        </w:rPr>
        <w:t xml:space="preserve">  I also have acquired funding through the American Heart Association in the form a mentored award to expand my expertise in cardiovascular epidemiology and patient engagement research.</w:t>
      </w:r>
    </w:p>
    <w:p w14:paraId="1ED0BB7B" w14:textId="77777777" w:rsidR="00CE292E" w:rsidRPr="00A128A0" w:rsidRDefault="00CE292E" w:rsidP="002C51BC">
      <w:pPr>
        <w:pStyle w:val="DataField11pt-Single"/>
        <w:rPr>
          <w:rStyle w:val="Strong"/>
        </w:rPr>
      </w:pPr>
    </w:p>
    <w:p w14:paraId="2AB7A0F5" w14:textId="5492CF0B"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r w:rsidR="00FE10AD">
        <w:rPr>
          <w:rStyle w:val="Strong"/>
        </w:rPr>
        <w:br/>
      </w:r>
    </w:p>
    <w:p w14:paraId="625E34A6" w14:textId="77777777" w:rsidR="00CE292E" w:rsidRDefault="00CE292E" w:rsidP="00CE292E">
      <w:pPr>
        <w:pStyle w:val="CM2"/>
        <w:rPr>
          <w:b/>
          <w:bCs/>
          <w:sz w:val="22"/>
          <w:szCs w:val="22"/>
        </w:rPr>
      </w:pPr>
      <w:r w:rsidRPr="00513A40">
        <w:rPr>
          <w:b/>
          <w:bCs/>
          <w:sz w:val="22"/>
          <w:szCs w:val="22"/>
        </w:rPr>
        <w:t xml:space="preserve">Positions and Employment: </w:t>
      </w:r>
    </w:p>
    <w:p w14:paraId="53169DC5" w14:textId="77777777" w:rsidR="00CE292E" w:rsidRPr="00DC3EFB" w:rsidRDefault="00CE292E" w:rsidP="00CE292E">
      <w:pPr>
        <w:ind w:left="1800" w:hanging="1440"/>
        <w:rPr>
          <w:rFonts w:cs="Arial"/>
          <w:noProof/>
          <w:szCs w:val="22"/>
        </w:rPr>
      </w:pPr>
      <w:r w:rsidRPr="00DC3EFB">
        <w:rPr>
          <w:rFonts w:cs="Arial"/>
          <w:noProof/>
          <w:szCs w:val="22"/>
        </w:rPr>
        <w:t>2003</w:t>
      </w:r>
      <w:r w:rsidRPr="00DC3EFB">
        <w:rPr>
          <w:rFonts w:cs="Arial"/>
          <w:noProof/>
          <w:szCs w:val="22"/>
        </w:rPr>
        <w:tab/>
        <w:t>Research Assistant,</w:t>
      </w:r>
      <w:r w:rsidRPr="00DC3EFB">
        <w:rPr>
          <w:rFonts w:cs="Arial"/>
          <w:b/>
          <w:noProof/>
          <w:szCs w:val="22"/>
        </w:rPr>
        <w:t xml:space="preserve"> </w:t>
      </w:r>
      <w:r w:rsidRPr="00DC3EFB">
        <w:rPr>
          <w:rFonts w:cs="Arial"/>
          <w:noProof/>
          <w:szCs w:val="22"/>
        </w:rPr>
        <w:t>Valdosta State University, Valdosta, GA</w:t>
      </w:r>
    </w:p>
    <w:p w14:paraId="25AF63C3" w14:textId="77777777" w:rsidR="00CE292E" w:rsidRPr="00DC3EFB" w:rsidRDefault="00CE292E" w:rsidP="00CE292E">
      <w:pPr>
        <w:ind w:left="1800" w:hanging="1440"/>
        <w:rPr>
          <w:rFonts w:cs="Arial"/>
          <w:noProof/>
          <w:szCs w:val="22"/>
        </w:rPr>
      </w:pPr>
      <w:r w:rsidRPr="00DC3EFB">
        <w:rPr>
          <w:rFonts w:cs="Arial"/>
          <w:noProof/>
          <w:szCs w:val="22"/>
        </w:rPr>
        <w:t>2005</w:t>
      </w:r>
      <w:r w:rsidRPr="00DC3EFB">
        <w:rPr>
          <w:rFonts w:cs="Arial"/>
          <w:noProof/>
          <w:szCs w:val="22"/>
        </w:rPr>
        <w:tab/>
        <w:t>Research Internship, Breast Cancer Surveillance Consortium, National Cancer Institute</w:t>
      </w:r>
    </w:p>
    <w:p w14:paraId="5492F778" w14:textId="77777777" w:rsidR="00CE292E" w:rsidRPr="00DC3EFB" w:rsidRDefault="00CE292E" w:rsidP="00CE292E">
      <w:pPr>
        <w:ind w:left="1800" w:hanging="1440"/>
        <w:rPr>
          <w:rFonts w:cs="Arial"/>
          <w:noProof/>
          <w:szCs w:val="22"/>
        </w:rPr>
      </w:pPr>
      <w:r w:rsidRPr="00DC3EFB">
        <w:rPr>
          <w:rFonts w:cs="Arial"/>
          <w:noProof/>
          <w:szCs w:val="22"/>
        </w:rPr>
        <w:t>2005-2007</w:t>
      </w:r>
      <w:r w:rsidRPr="00DC3EFB">
        <w:rPr>
          <w:rFonts w:cs="Arial"/>
          <w:noProof/>
          <w:szCs w:val="22"/>
        </w:rPr>
        <w:tab/>
        <w:t>Research Assistant, Birmingham VA Medical Center, Birmingham, AL</w:t>
      </w:r>
    </w:p>
    <w:p w14:paraId="252CA950" w14:textId="77777777" w:rsidR="00CE292E" w:rsidRPr="00DC3EFB" w:rsidRDefault="00CE292E" w:rsidP="00CE292E">
      <w:pPr>
        <w:ind w:left="1800" w:hanging="1440"/>
        <w:rPr>
          <w:rFonts w:cs="Arial"/>
          <w:noProof/>
          <w:szCs w:val="22"/>
        </w:rPr>
      </w:pPr>
      <w:r w:rsidRPr="00DC3EFB">
        <w:rPr>
          <w:rFonts w:cs="Arial"/>
          <w:noProof/>
          <w:szCs w:val="22"/>
        </w:rPr>
        <w:t>2006</w:t>
      </w:r>
      <w:r w:rsidRPr="00DC3EFB">
        <w:rPr>
          <w:rFonts w:cs="Arial"/>
          <w:noProof/>
          <w:szCs w:val="22"/>
        </w:rPr>
        <w:tab/>
        <w:t>Research Work Study, School of Public Health, University of Alabama at Birmingham</w:t>
      </w:r>
    </w:p>
    <w:p w14:paraId="3D68190F" w14:textId="77777777" w:rsidR="00CE292E" w:rsidRDefault="00CE292E" w:rsidP="00CE292E">
      <w:pPr>
        <w:ind w:left="1800" w:hanging="1440"/>
        <w:rPr>
          <w:rFonts w:cs="Arial"/>
          <w:noProof/>
          <w:szCs w:val="22"/>
        </w:rPr>
      </w:pPr>
      <w:r w:rsidRPr="00DC3EFB">
        <w:rPr>
          <w:rFonts w:cs="Arial"/>
          <w:noProof/>
          <w:szCs w:val="22"/>
        </w:rPr>
        <w:t>2007-2008</w:t>
      </w:r>
      <w:r w:rsidRPr="00DC3EFB">
        <w:rPr>
          <w:rFonts w:cs="Arial"/>
          <w:noProof/>
          <w:szCs w:val="22"/>
        </w:rPr>
        <w:tab/>
        <w:t>Epidemiologist, Centers for Disease Control and Prevention, Atlanta, GA</w:t>
      </w:r>
    </w:p>
    <w:p w14:paraId="5D963ABA" w14:textId="2ACC4617" w:rsidR="00CE292E" w:rsidRDefault="00CE292E" w:rsidP="00CE292E">
      <w:pPr>
        <w:ind w:left="1800" w:hanging="1440"/>
        <w:rPr>
          <w:rFonts w:cs="Arial"/>
          <w:noProof/>
          <w:szCs w:val="22"/>
        </w:rPr>
      </w:pPr>
      <w:r>
        <w:rPr>
          <w:rFonts w:cs="Arial"/>
          <w:noProof/>
          <w:szCs w:val="22"/>
        </w:rPr>
        <w:t>2008-</w:t>
      </w:r>
      <w:r>
        <w:rPr>
          <w:rFonts w:cs="Arial"/>
          <w:noProof/>
          <w:szCs w:val="22"/>
        </w:rPr>
        <w:t>2017</w:t>
      </w:r>
      <w:r>
        <w:rPr>
          <w:rFonts w:cs="Arial"/>
          <w:noProof/>
          <w:szCs w:val="22"/>
        </w:rPr>
        <w:tab/>
        <w:t>Analyst, Birmingham VA Medical Center, Birmingham, AL</w:t>
      </w:r>
    </w:p>
    <w:p w14:paraId="6757C916" w14:textId="77777777" w:rsidR="00CE292E" w:rsidRDefault="00CE292E" w:rsidP="00CE292E">
      <w:pPr>
        <w:ind w:left="1800" w:hanging="1440"/>
        <w:rPr>
          <w:rFonts w:cs="Arial"/>
          <w:noProof/>
          <w:szCs w:val="22"/>
        </w:rPr>
      </w:pPr>
      <w:r>
        <w:rPr>
          <w:rFonts w:cs="Arial"/>
          <w:noProof/>
          <w:szCs w:val="22"/>
        </w:rPr>
        <w:t>2012-2014</w:t>
      </w:r>
      <w:r>
        <w:rPr>
          <w:rFonts w:cs="Arial"/>
          <w:noProof/>
          <w:szCs w:val="22"/>
        </w:rPr>
        <w:tab/>
        <w:t>Contract Analyst, CE Outcomes, LLC, Birmingham, AL</w:t>
      </w:r>
    </w:p>
    <w:p w14:paraId="2DCA30D4" w14:textId="79A9B3E6" w:rsidR="00CE292E" w:rsidRDefault="00CE292E" w:rsidP="00CE292E">
      <w:pPr>
        <w:ind w:left="1800" w:hanging="1440"/>
        <w:rPr>
          <w:rFonts w:cs="Arial"/>
          <w:noProof/>
          <w:szCs w:val="22"/>
        </w:rPr>
      </w:pPr>
      <w:r>
        <w:rPr>
          <w:rFonts w:cs="Arial"/>
          <w:noProof/>
          <w:szCs w:val="22"/>
        </w:rPr>
        <w:t>2013-</w:t>
      </w:r>
      <w:r>
        <w:rPr>
          <w:rFonts w:cs="Arial"/>
          <w:noProof/>
          <w:szCs w:val="22"/>
        </w:rPr>
        <w:tab/>
        <w:t>Research Associate, University of Alabama at Birmingham Hospital, Birmingham, AL</w:t>
      </w:r>
      <w:r>
        <w:rPr>
          <w:rFonts w:cs="Arial"/>
          <w:noProof/>
          <w:szCs w:val="22"/>
        </w:rPr>
        <w:tab/>
      </w:r>
    </w:p>
    <w:p w14:paraId="7E676CB2" w14:textId="12908A39" w:rsidR="00CE292E" w:rsidRDefault="00CE292E" w:rsidP="00CE292E">
      <w:pPr>
        <w:ind w:left="1800" w:hanging="1440"/>
        <w:rPr>
          <w:rFonts w:cs="Arial"/>
          <w:noProof/>
          <w:szCs w:val="22"/>
        </w:rPr>
      </w:pPr>
      <w:r>
        <w:rPr>
          <w:rFonts w:cs="Arial"/>
          <w:noProof/>
          <w:szCs w:val="22"/>
        </w:rPr>
        <w:t>2017-</w:t>
      </w:r>
      <w:r>
        <w:rPr>
          <w:rFonts w:cs="Arial"/>
          <w:noProof/>
          <w:szCs w:val="22"/>
        </w:rPr>
        <w:tab/>
        <w:t>Advanced Post-Doctoral Fellow, VA Palo Alto Health Care System, Palo Alto, CA</w:t>
      </w:r>
    </w:p>
    <w:p w14:paraId="5B849E91" w14:textId="28E44D49" w:rsidR="00CE292E" w:rsidRPr="00DC3EFB" w:rsidRDefault="00CE292E" w:rsidP="00CE292E">
      <w:pPr>
        <w:ind w:left="1800" w:hanging="1440"/>
        <w:rPr>
          <w:rFonts w:cs="Arial"/>
          <w:noProof/>
          <w:szCs w:val="22"/>
        </w:rPr>
      </w:pPr>
      <w:r>
        <w:rPr>
          <w:rFonts w:cs="Arial"/>
          <w:noProof/>
          <w:szCs w:val="22"/>
        </w:rPr>
        <w:t>2017-</w:t>
      </w:r>
      <w:r>
        <w:rPr>
          <w:rFonts w:cs="Arial"/>
          <w:noProof/>
          <w:szCs w:val="22"/>
        </w:rPr>
        <w:tab/>
        <w:t>Post-Doctoral Scholar, Stanford School of Medicine, Stanford University, Stanford, CA</w:t>
      </w:r>
    </w:p>
    <w:p w14:paraId="1F1B865E" w14:textId="77777777" w:rsidR="00CE292E" w:rsidRPr="00513A40" w:rsidRDefault="00CE292E" w:rsidP="00CE292E">
      <w:pPr>
        <w:pStyle w:val="CM10"/>
        <w:rPr>
          <w:sz w:val="22"/>
          <w:szCs w:val="22"/>
        </w:rPr>
      </w:pPr>
      <w:r w:rsidRPr="00513A40">
        <w:rPr>
          <w:b/>
          <w:bCs/>
          <w:sz w:val="22"/>
          <w:szCs w:val="22"/>
        </w:rPr>
        <w:t>Honors</w:t>
      </w:r>
      <w:r>
        <w:rPr>
          <w:b/>
          <w:bCs/>
          <w:sz w:val="22"/>
          <w:szCs w:val="22"/>
        </w:rPr>
        <w:t>:</w:t>
      </w:r>
    </w:p>
    <w:tbl>
      <w:tblPr>
        <w:tblW w:w="0" w:type="auto"/>
        <w:tblInd w:w="360" w:type="dxa"/>
        <w:tblLook w:val="01E0" w:firstRow="1" w:lastRow="1" w:firstColumn="1" w:lastColumn="1" w:noHBand="0" w:noVBand="0"/>
      </w:tblPr>
      <w:tblGrid>
        <w:gridCol w:w="1482"/>
        <w:gridCol w:w="8688"/>
      </w:tblGrid>
      <w:tr w:rsidR="00CE292E" w:rsidRPr="00CE292E" w14:paraId="1CD0A799" w14:textId="77777777" w:rsidTr="00CE292E">
        <w:tc>
          <w:tcPr>
            <w:tcW w:w="1482" w:type="dxa"/>
            <w:hideMark/>
          </w:tcPr>
          <w:p w14:paraId="4F5CDEEA" w14:textId="77777777" w:rsidR="00CE292E" w:rsidRPr="00CE292E" w:rsidRDefault="00CE292E">
            <w:pPr>
              <w:rPr>
                <w:rFonts w:cs="Arial"/>
                <w:noProof/>
                <w:szCs w:val="20"/>
              </w:rPr>
            </w:pPr>
            <w:r w:rsidRPr="00CE292E">
              <w:rPr>
                <w:rFonts w:cs="Arial"/>
                <w:noProof/>
                <w:szCs w:val="20"/>
              </w:rPr>
              <w:t>2017</w:t>
            </w:r>
          </w:p>
        </w:tc>
        <w:tc>
          <w:tcPr>
            <w:tcW w:w="8688" w:type="dxa"/>
            <w:hideMark/>
          </w:tcPr>
          <w:p w14:paraId="38E0A2C1" w14:textId="6E3A3BB8" w:rsidR="00CE292E" w:rsidRPr="00CE292E" w:rsidRDefault="00CE292E">
            <w:pPr>
              <w:rPr>
                <w:rFonts w:cs="Arial"/>
                <w:noProof/>
                <w:szCs w:val="20"/>
              </w:rPr>
            </w:pPr>
            <w:r w:rsidRPr="00CE292E">
              <w:rPr>
                <w:rFonts w:cs="Arial"/>
                <w:noProof/>
                <w:szCs w:val="20"/>
              </w:rPr>
              <w:t xml:space="preserve">Lawrence M. Brass Stroke Research Award, American Heart </w:t>
            </w:r>
            <w:r>
              <w:rPr>
                <w:rFonts w:cs="Arial"/>
                <w:noProof/>
                <w:szCs w:val="20"/>
              </w:rPr>
              <w:t>A</w:t>
            </w:r>
            <w:r w:rsidRPr="00CE292E">
              <w:rPr>
                <w:rFonts w:cs="Arial"/>
                <w:noProof/>
                <w:szCs w:val="20"/>
              </w:rPr>
              <w:t>ssociation / American Stroke Association / American Brain Foundation</w:t>
            </w:r>
          </w:p>
        </w:tc>
      </w:tr>
      <w:tr w:rsidR="00CE292E" w:rsidRPr="00CE292E" w14:paraId="79BAF00B" w14:textId="77777777" w:rsidTr="00CE292E">
        <w:tc>
          <w:tcPr>
            <w:tcW w:w="1482" w:type="dxa"/>
            <w:hideMark/>
          </w:tcPr>
          <w:p w14:paraId="0BBA5820" w14:textId="77777777" w:rsidR="00CE292E" w:rsidRPr="00CE292E" w:rsidRDefault="00CE292E">
            <w:pPr>
              <w:rPr>
                <w:rFonts w:cs="Arial"/>
                <w:noProof/>
                <w:szCs w:val="20"/>
              </w:rPr>
            </w:pPr>
            <w:r w:rsidRPr="00CE292E">
              <w:rPr>
                <w:rFonts w:cs="Arial"/>
                <w:noProof/>
                <w:szCs w:val="20"/>
              </w:rPr>
              <w:t>2015 – 2016</w:t>
            </w:r>
          </w:p>
        </w:tc>
        <w:tc>
          <w:tcPr>
            <w:tcW w:w="8688" w:type="dxa"/>
            <w:hideMark/>
          </w:tcPr>
          <w:p w14:paraId="06D3784E" w14:textId="77777777" w:rsidR="00CE292E" w:rsidRPr="00CE292E" w:rsidRDefault="00CE292E">
            <w:pPr>
              <w:rPr>
                <w:rFonts w:cs="Arial"/>
                <w:noProof/>
                <w:szCs w:val="20"/>
              </w:rPr>
            </w:pPr>
            <w:r w:rsidRPr="00CE292E">
              <w:rPr>
                <w:rFonts w:cs="Arial"/>
                <w:noProof/>
                <w:szCs w:val="20"/>
              </w:rPr>
              <w:t>Graduate Tuition Scholarship, University of Alabama at Birmingham</w:t>
            </w:r>
          </w:p>
        </w:tc>
      </w:tr>
      <w:tr w:rsidR="00CE292E" w:rsidRPr="00CE292E" w14:paraId="123456B4" w14:textId="77777777" w:rsidTr="00CE292E">
        <w:tc>
          <w:tcPr>
            <w:tcW w:w="1482" w:type="dxa"/>
            <w:hideMark/>
          </w:tcPr>
          <w:p w14:paraId="1397E08B" w14:textId="77777777" w:rsidR="00CE292E" w:rsidRPr="00CE292E" w:rsidRDefault="00CE292E">
            <w:pPr>
              <w:rPr>
                <w:rFonts w:cs="Arial"/>
                <w:noProof/>
                <w:szCs w:val="20"/>
              </w:rPr>
            </w:pPr>
            <w:r w:rsidRPr="00CE292E">
              <w:rPr>
                <w:rFonts w:cs="Arial"/>
                <w:noProof/>
                <w:szCs w:val="20"/>
              </w:rPr>
              <w:t xml:space="preserve">2004 – 2005 </w:t>
            </w:r>
          </w:p>
        </w:tc>
        <w:tc>
          <w:tcPr>
            <w:tcW w:w="8688" w:type="dxa"/>
            <w:hideMark/>
          </w:tcPr>
          <w:p w14:paraId="448DE26D" w14:textId="77777777" w:rsidR="00CE292E" w:rsidRPr="00CE292E" w:rsidRDefault="00CE292E">
            <w:pPr>
              <w:rPr>
                <w:rFonts w:cs="Arial"/>
                <w:noProof/>
                <w:szCs w:val="20"/>
              </w:rPr>
            </w:pPr>
            <w:r w:rsidRPr="00CE292E">
              <w:rPr>
                <w:rFonts w:cs="Arial"/>
                <w:noProof/>
                <w:szCs w:val="20"/>
              </w:rPr>
              <w:t>Public Health Merit Scholarship, University of Alabama at Birmingham</w:t>
            </w:r>
          </w:p>
        </w:tc>
      </w:tr>
      <w:tr w:rsidR="00CE292E" w:rsidRPr="00CE292E" w14:paraId="1109D02A" w14:textId="77777777" w:rsidTr="00CE292E">
        <w:tc>
          <w:tcPr>
            <w:tcW w:w="1482" w:type="dxa"/>
            <w:hideMark/>
          </w:tcPr>
          <w:p w14:paraId="194868EE" w14:textId="77777777" w:rsidR="00CE292E" w:rsidRPr="00CE292E" w:rsidRDefault="00CE292E">
            <w:pPr>
              <w:rPr>
                <w:rFonts w:cs="Arial"/>
                <w:noProof/>
                <w:szCs w:val="20"/>
              </w:rPr>
            </w:pPr>
            <w:r w:rsidRPr="00CE292E">
              <w:rPr>
                <w:rFonts w:cs="Arial"/>
                <w:noProof/>
                <w:szCs w:val="20"/>
              </w:rPr>
              <w:t xml:space="preserve">2001 – 2004 </w:t>
            </w:r>
          </w:p>
        </w:tc>
        <w:tc>
          <w:tcPr>
            <w:tcW w:w="8688" w:type="dxa"/>
            <w:hideMark/>
          </w:tcPr>
          <w:p w14:paraId="09EE2B8F" w14:textId="77777777" w:rsidR="00CE292E" w:rsidRPr="00CE292E" w:rsidRDefault="00CE292E">
            <w:pPr>
              <w:rPr>
                <w:rFonts w:cs="Arial"/>
                <w:noProof/>
                <w:szCs w:val="20"/>
              </w:rPr>
            </w:pPr>
            <w:r w:rsidRPr="00CE292E">
              <w:rPr>
                <w:rFonts w:cs="Arial"/>
                <w:noProof/>
                <w:szCs w:val="20"/>
              </w:rPr>
              <w:t>Dean’s List, Valdosta State University</w:t>
            </w:r>
          </w:p>
        </w:tc>
      </w:tr>
      <w:tr w:rsidR="00CE292E" w:rsidRPr="00CE292E" w14:paraId="3423F050" w14:textId="77777777" w:rsidTr="00CE292E">
        <w:tc>
          <w:tcPr>
            <w:tcW w:w="1482" w:type="dxa"/>
            <w:hideMark/>
          </w:tcPr>
          <w:p w14:paraId="40838C1D" w14:textId="77777777" w:rsidR="00CE292E" w:rsidRPr="00CE292E" w:rsidRDefault="00CE292E">
            <w:pPr>
              <w:rPr>
                <w:rFonts w:cs="Arial"/>
                <w:noProof/>
                <w:szCs w:val="20"/>
              </w:rPr>
            </w:pPr>
            <w:r w:rsidRPr="00CE292E">
              <w:rPr>
                <w:rFonts w:cs="Arial"/>
                <w:noProof/>
                <w:szCs w:val="20"/>
              </w:rPr>
              <w:t xml:space="preserve">2001 – 2004 </w:t>
            </w:r>
          </w:p>
        </w:tc>
        <w:tc>
          <w:tcPr>
            <w:tcW w:w="8688" w:type="dxa"/>
            <w:hideMark/>
          </w:tcPr>
          <w:p w14:paraId="11A2F880" w14:textId="77777777" w:rsidR="00CE292E" w:rsidRPr="00CE292E" w:rsidRDefault="00CE292E">
            <w:pPr>
              <w:rPr>
                <w:rFonts w:cs="Arial"/>
                <w:noProof/>
                <w:szCs w:val="20"/>
              </w:rPr>
            </w:pPr>
            <w:r w:rsidRPr="00CE292E">
              <w:rPr>
                <w:rFonts w:cs="Arial"/>
                <w:noProof/>
                <w:szCs w:val="20"/>
              </w:rPr>
              <w:t>Odum Scholarship, Valdosta State University</w:t>
            </w:r>
          </w:p>
        </w:tc>
      </w:tr>
      <w:tr w:rsidR="00CE292E" w:rsidRPr="00CE292E" w14:paraId="0DC60354" w14:textId="77777777" w:rsidTr="00CE292E">
        <w:tc>
          <w:tcPr>
            <w:tcW w:w="1482" w:type="dxa"/>
            <w:hideMark/>
          </w:tcPr>
          <w:p w14:paraId="61C6EE2C" w14:textId="77777777" w:rsidR="00CE292E" w:rsidRPr="00CE292E" w:rsidRDefault="00CE292E">
            <w:pPr>
              <w:rPr>
                <w:rFonts w:cs="Arial"/>
                <w:noProof/>
                <w:szCs w:val="20"/>
              </w:rPr>
            </w:pPr>
            <w:r w:rsidRPr="00CE292E">
              <w:rPr>
                <w:rFonts w:cs="Arial"/>
                <w:noProof/>
                <w:szCs w:val="20"/>
              </w:rPr>
              <w:t xml:space="preserve">2001 – 2002 </w:t>
            </w:r>
          </w:p>
        </w:tc>
        <w:tc>
          <w:tcPr>
            <w:tcW w:w="8688" w:type="dxa"/>
            <w:hideMark/>
          </w:tcPr>
          <w:p w14:paraId="27AC0845" w14:textId="77777777" w:rsidR="00CE292E" w:rsidRPr="00CE292E" w:rsidRDefault="00CE292E">
            <w:pPr>
              <w:rPr>
                <w:rFonts w:cs="Arial"/>
                <w:noProof/>
                <w:szCs w:val="20"/>
              </w:rPr>
            </w:pPr>
            <w:r w:rsidRPr="00CE292E">
              <w:rPr>
                <w:rFonts w:cs="Arial"/>
                <w:noProof/>
                <w:szCs w:val="20"/>
              </w:rPr>
              <w:t>Honor Program Participant, Valdosta State University</w:t>
            </w:r>
          </w:p>
        </w:tc>
      </w:tr>
    </w:tbl>
    <w:p w14:paraId="532A2073" w14:textId="77777777" w:rsidR="00CE292E" w:rsidRPr="00A128A0" w:rsidRDefault="00CE292E" w:rsidP="002C51BC">
      <w:pPr>
        <w:pStyle w:val="DataField11pt-Single"/>
        <w:rPr>
          <w:rStyle w:val="Strong"/>
        </w:rPr>
      </w:pPr>
    </w:p>
    <w:p w14:paraId="5BADD417" w14:textId="70CECC49" w:rsidR="002C51BC" w:rsidRDefault="002C51BC" w:rsidP="002C51BC">
      <w:pPr>
        <w:pStyle w:val="DataField11pt-Single"/>
        <w:rPr>
          <w:rStyle w:val="Strong"/>
        </w:rPr>
      </w:pPr>
      <w:r w:rsidRPr="00A128A0">
        <w:rPr>
          <w:rStyle w:val="Strong"/>
        </w:rPr>
        <w:lastRenderedPageBreak/>
        <w:t>C.</w:t>
      </w:r>
      <w:r w:rsidRPr="00A128A0">
        <w:rPr>
          <w:rStyle w:val="Strong"/>
        </w:rPr>
        <w:tab/>
        <w:t>Contributions to Science</w:t>
      </w:r>
      <w:r w:rsidR="00FE10AD">
        <w:rPr>
          <w:rStyle w:val="Strong"/>
        </w:rPr>
        <w:br/>
      </w:r>
    </w:p>
    <w:p w14:paraId="7010CE02" w14:textId="61FDF200" w:rsidR="00CD5515" w:rsidRPr="00282E3F" w:rsidRDefault="00CD5515" w:rsidP="00CD5515">
      <w:pPr>
        <w:pStyle w:val="List1stLevel"/>
        <w:numPr>
          <w:ilvl w:val="0"/>
          <w:numId w:val="19"/>
        </w:numPr>
        <w:spacing w:before="0" w:after="0" w:line="240" w:lineRule="auto"/>
        <w:rPr>
          <w:rFonts w:ascii="Arial" w:eastAsia="Times New Roman" w:hAnsi="Arial" w:cs="Arial"/>
          <w:bCs/>
          <w:iCs/>
        </w:rPr>
      </w:pPr>
      <w:r w:rsidRPr="00282E3F">
        <w:rPr>
          <w:rFonts w:ascii="Arial" w:eastAsia="Times New Roman" w:hAnsi="Arial" w:cs="Arial"/>
          <w:bCs/>
          <w:iCs/>
        </w:rPr>
        <w:t xml:space="preserve">Veterans needing surgery after cardiac stent implantation face a poorly defined increased risk of adverse peri-operative events and mortality. To address this question, I </w:t>
      </w:r>
      <w:r>
        <w:rPr>
          <w:rFonts w:ascii="Arial" w:eastAsia="Times New Roman" w:hAnsi="Arial" w:cs="Arial"/>
          <w:bCs/>
          <w:iCs/>
        </w:rPr>
        <w:t xml:space="preserve">worked as an analyst on </w:t>
      </w:r>
      <w:r w:rsidRPr="00282E3F">
        <w:rPr>
          <w:rFonts w:ascii="Arial" w:eastAsia="Times New Roman" w:hAnsi="Arial" w:cs="Arial"/>
          <w:bCs/>
          <w:iCs/>
        </w:rPr>
        <w:t xml:space="preserve">the </w:t>
      </w:r>
      <w:r>
        <w:rPr>
          <w:rFonts w:ascii="Arial" w:eastAsia="Times New Roman" w:hAnsi="Arial" w:cs="Arial"/>
          <w:bCs/>
          <w:iCs/>
        </w:rPr>
        <w:t>VHA Health Services Research &amp; Development</w:t>
      </w:r>
      <w:r w:rsidRPr="00282E3F">
        <w:rPr>
          <w:rFonts w:ascii="Arial" w:eastAsia="Times New Roman" w:hAnsi="Arial" w:cs="Arial"/>
          <w:bCs/>
          <w:iCs/>
        </w:rPr>
        <w:t xml:space="preserve"> study ‘</w:t>
      </w:r>
      <w:r w:rsidRPr="00282E3F">
        <w:rPr>
          <w:rFonts w:ascii="Arial" w:hAnsi="Arial" w:cs="Arial"/>
          <w:bCs/>
          <w:iCs/>
        </w:rPr>
        <w:t>Cardiac Risk and Stent Effect on Adverse Perioperative Events’ (IIR 09-347) which provided much needed knowledge regarding the guidelines for management of patients with stents needing subsequent surgical intervention. To date, t</w:t>
      </w:r>
      <w:r w:rsidRPr="00282E3F">
        <w:rPr>
          <w:rFonts w:ascii="Arial" w:eastAsia="Times New Roman" w:hAnsi="Arial" w:cs="Arial"/>
          <w:bCs/>
          <w:iCs/>
        </w:rPr>
        <w:t>he major impact of this study has been the change in the ACC/AHA guidelines on management of patients with dru</w:t>
      </w:r>
      <w:r>
        <w:rPr>
          <w:rFonts w:ascii="Arial" w:eastAsia="Times New Roman" w:hAnsi="Arial" w:cs="Arial"/>
          <w:bCs/>
          <w:iCs/>
        </w:rPr>
        <w:t>g eluting stents undergoing non-</w:t>
      </w:r>
      <w:r w:rsidRPr="00282E3F">
        <w:rPr>
          <w:rFonts w:ascii="Arial" w:eastAsia="Times New Roman" w:hAnsi="Arial" w:cs="Arial"/>
          <w:bCs/>
          <w:iCs/>
        </w:rPr>
        <w:t>cardiac surgery. The 2014 guidelines now recommend delaying surgery for 6 months (formerly one year) and cite our publication as the reference for this change in recommendation.</w:t>
      </w:r>
    </w:p>
    <w:p w14:paraId="4FBC1404" w14:textId="77777777" w:rsidR="00CD5515" w:rsidRPr="0046310C" w:rsidRDefault="00CD5515" w:rsidP="00CD5515">
      <w:pPr>
        <w:pStyle w:val="List1stLevel"/>
        <w:numPr>
          <w:ilvl w:val="1"/>
          <w:numId w:val="19"/>
        </w:numPr>
        <w:spacing w:before="0" w:after="0" w:line="240" w:lineRule="auto"/>
        <w:rPr>
          <w:rFonts w:ascii="Arial" w:eastAsia="Times New Roman" w:hAnsi="Arial" w:cs="Arial"/>
          <w:bCs/>
          <w:iCs/>
        </w:rPr>
      </w:pPr>
      <w:r w:rsidRPr="0046310C">
        <w:rPr>
          <w:rFonts w:ascii="Arial" w:hAnsi="Arial" w:cs="Arial"/>
        </w:rPr>
        <w:t xml:space="preserve">Hawn MT, </w:t>
      </w:r>
      <w:r w:rsidRPr="0046310C">
        <w:rPr>
          <w:rFonts w:ascii="Arial" w:hAnsi="Arial" w:cs="Arial"/>
          <w:b/>
        </w:rPr>
        <w:t>Graham LA</w:t>
      </w:r>
      <w:r w:rsidRPr="0046310C">
        <w:rPr>
          <w:rFonts w:ascii="Arial" w:hAnsi="Arial" w:cs="Arial"/>
        </w:rPr>
        <w:t xml:space="preserve">, Richman JS, </w:t>
      </w:r>
      <w:proofErr w:type="spellStart"/>
      <w:r w:rsidRPr="0046310C">
        <w:rPr>
          <w:rFonts w:ascii="Arial" w:hAnsi="Arial" w:cs="Arial"/>
        </w:rPr>
        <w:t>Itani</w:t>
      </w:r>
      <w:proofErr w:type="spellEnd"/>
      <w:r w:rsidRPr="0046310C">
        <w:rPr>
          <w:rFonts w:ascii="Arial" w:hAnsi="Arial" w:cs="Arial"/>
        </w:rPr>
        <w:t xml:space="preserve"> KM, Henderson WG, Maddox TM. Risk of major adverse cardiac events following noncardiac surgery in patients with coronary stents. </w:t>
      </w:r>
      <w:proofErr w:type="gramStart"/>
      <w:r w:rsidRPr="0046310C">
        <w:rPr>
          <w:rFonts w:ascii="Arial" w:hAnsi="Arial" w:cs="Arial"/>
        </w:rPr>
        <w:t>JAMA :</w:t>
      </w:r>
      <w:proofErr w:type="gramEnd"/>
      <w:r w:rsidRPr="0046310C">
        <w:rPr>
          <w:rFonts w:ascii="Arial" w:hAnsi="Arial" w:cs="Arial"/>
        </w:rPr>
        <w:t xml:space="preserve"> the journal of the American Medical Association. 2013 Oct 9; 310(14):1462-72.</w:t>
      </w:r>
    </w:p>
    <w:p w14:paraId="7D58CFDD" w14:textId="77777777" w:rsidR="00CD5515" w:rsidRPr="0046310C" w:rsidRDefault="00CD5515" w:rsidP="00CD5515">
      <w:pPr>
        <w:pStyle w:val="List1stLevel"/>
        <w:numPr>
          <w:ilvl w:val="1"/>
          <w:numId w:val="19"/>
        </w:numPr>
        <w:spacing w:before="0" w:after="0" w:line="240" w:lineRule="auto"/>
        <w:rPr>
          <w:rFonts w:ascii="Arial" w:eastAsia="Times New Roman" w:hAnsi="Arial" w:cs="Arial"/>
          <w:bCs/>
          <w:iCs/>
        </w:rPr>
      </w:pPr>
      <w:r w:rsidRPr="0046310C">
        <w:rPr>
          <w:rFonts w:ascii="Arial" w:eastAsia="Times New Roman" w:hAnsi="Arial" w:cs="Arial"/>
          <w:bCs/>
          <w:iCs/>
        </w:rPr>
        <w:t xml:space="preserve">Hawn MT, </w:t>
      </w:r>
      <w:r w:rsidRPr="0046310C">
        <w:rPr>
          <w:rFonts w:ascii="Arial" w:eastAsia="Times New Roman" w:hAnsi="Arial" w:cs="Arial"/>
          <w:b/>
          <w:bCs/>
          <w:iCs/>
        </w:rPr>
        <w:t>Graham LA</w:t>
      </w:r>
      <w:r w:rsidRPr="0046310C">
        <w:rPr>
          <w:rFonts w:ascii="Arial" w:eastAsia="Times New Roman" w:hAnsi="Arial" w:cs="Arial"/>
          <w:bCs/>
          <w:iCs/>
        </w:rPr>
        <w:t xml:space="preserve">, Richman JR, </w:t>
      </w:r>
      <w:proofErr w:type="spellStart"/>
      <w:r w:rsidRPr="0046310C">
        <w:rPr>
          <w:rFonts w:ascii="Arial" w:eastAsia="Times New Roman" w:hAnsi="Arial" w:cs="Arial"/>
          <w:bCs/>
          <w:iCs/>
        </w:rPr>
        <w:t>Itani</w:t>
      </w:r>
      <w:proofErr w:type="spellEnd"/>
      <w:r w:rsidRPr="0046310C">
        <w:rPr>
          <w:rFonts w:ascii="Arial" w:eastAsia="Times New Roman" w:hAnsi="Arial" w:cs="Arial"/>
          <w:bCs/>
          <w:iCs/>
        </w:rPr>
        <w:t xml:space="preserve"> KM, </w:t>
      </w:r>
      <w:proofErr w:type="spellStart"/>
      <w:r w:rsidRPr="0046310C">
        <w:rPr>
          <w:rFonts w:ascii="Arial" w:eastAsia="Times New Roman" w:hAnsi="Arial" w:cs="Arial"/>
          <w:bCs/>
          <w:iCs/>
        </w:rPr>
        <w:t>Plomondon</w:t>
      </w:r>
      <w:proofErr w:type="spellEnd"/>
      <w:r w:rsidRPr="0046310C">
        <w:rPr>
          <w:rFonts w:ascii="Arial" w:eastAsia="Times New Roman" w:hAnsi="Arial" w:cs="Arial"/>
          <w:bCs/>
          <w:iCs/>
        </w:rPr>
        <w:t xml:space="preserve"> ME, </w:t>
      </w:r>
      <w:proofErr w:type="spellStart"/>
      <w:r w:rsidRPr="0046310C">
        <w:rPr>
          <w:rFonts w:ascii="Arial" w:eastAsia="Times New Roman" w:hAnsi="Arial" w:cs="Arial"/>
          <w:bCs/>
          <w:iCs/>
        </w:rPr>
        <w:t>Altom</w:t>
      </w:r>
      <w:proofErr w:type="spellEnd"/>
      <w:r w:rsidRPr="0046310C">
        <w:rPr>
          <w:rFonts w:ascii="Arial" w:eastAsia="Times New Roman" w:hAnsi="Arial" w:cs="Arial"/>
          <w:bCs/>
          <w:iCs/>
        </w:rPr>
        <w:t xml:space="preserve"> LK, Henderson WG, Bryson CL, Maddox TM. The incidence and timing of noncardiac surgery after cardiac stent implantation. Journal of the American College of Surgeons. 2012 Apr 1; 214(4):658-66; discussion 666-7.</w:t>
      </w:r>
    </w:p>
    <w:p w14:paraId="532B5F80" w14:textId="77777777" w:rsidR="00CD5515" w:rsidRPr="0046310C" w:rsidRDefault="00CD5515" w:rsidP="00CD5515">
      <w:pPr>
        <w:pStyle w:val="List1stLevel"/>
        <w:numPr>
          <w:ilvl w:val="1"/>
          <w:numId w:val="19"/>
        </w:numPr>
        <w:spacing w:before="0" w:after="0" w:line="240" w:lineRule="auto"/>
        <w:rPr>
          <w:rFonts w:ascii="Arial" w:eastAsia="Times New Roman" w:hAnsi="Arial" w:cs="Arial"/>
          <w:bCs/>
          <w:iCs/>
        </w:rPr>
      </w:pPr>
      <w:r w:rsidRPr="0046310C">
        <w:rPr>
          <w:rFonts w:ascii="Arial" w:eastAsia="Times New Roman" w:hAnsi="Arial" w:cs="Arial"/>
          <w:b/>
          <w:bCs/>
          <w:iCs/>
        </w:rPr>
        <w:t>Graham LA</w:t>
      </w:r>
      <w:r w:rsidRPr="0046310C">
        <w:rPr>
          <w:rFonts w:ascii="Arial" w:eastAsia="Times New Roman" w:hAnsi="Arial" w:cs="Arial"/>
          <w:bCs/>
          <w:iCs/>
        </w:rPr>
        <w:t xml:space="preserve">, Singletary BA, Richman JS, Maddox TM, </w:t>
      </w:r>
      <w:proofErr w:type="spellStart"/>
      <w:r w:rsidRPr="0046310C">
        <w:rPr>
          <w:rFonts w:ascii="Arial" w:eastAsia="Times New Roman" w:hAnsi="Arial" w:cs="Arial"/>
          <w:bCs/>
          <w:iCs/>
        </w:rPr>
        <w:t>Itani</w:t>
      </w:r>
      <w:proofErr w:type="spellEnd"/>
      <w:r w:rsidRPr="0046310C">
        <w:rPr>
          <w:rFonts w:ascii="Arial" w:eastAsia="Times New Roman" w:hAnsi="Arial" w:cs="Arial"/>
          <w:bCs/>
          <w:iCs/>
        </w:rPr>
        <w:t xml:space="preserve"> KM, Hawn MT. Improved adverse postoperative outcomes with revised American College of Cardiology/American Heart Association guidelines for patients with cardiac stents. JAMA surgery. 2014 Nov 1; 149(11):1113-20.</w:t>
      </w:r>
    </w:p>
    <w:p w14:paraId="41FB820C" w14:textId="77777777" w:rsidR="00CD5515" w:rsidRPr="00303EBB" w:rsidRDefault="00CD5515" w:rsidP="00CD5515">
      <w:pPr>
        <w:pStyle w:val="Default"/>
        <w:numPr>
          <w:ilvl w:val="1"/>
          <w:numId w:val="19"/>
        </w:numPr>
        <w:tabs>
          <w:tab w:val="left" w:pos="450"/>
        </w:tabs>
        <w:rPr>
          <w:sz w:val="22"/>
          <w:szCs w:val="22"/>
        </w:rPr>
      </w:pPr>
      <w:r w:rsidRPr="00303EBB">
        <w:rPr>
          <w:b/>
          <w:sz w:val="22"/>
          <w:szCs w:val="22"/>
        </w:rPr>
        <w:t>Graham LA</w:t>
      </w:r>
      <w:r w:rsidRPr="00303EBB">
        <w:rPr>
          <w:sz w:val="22"/>
          <w:szCs w:val="22"/>
        </w:rPr>
        <w:t xml:space="preserve">, Maddox TM, </w:t>
      </w:r>
      <w:proofErr w:type="spellStart"/>
      <w:r w:rsidRPr="00303EBB">
        <w:rPr>
          <w:sz w:val="22"/>
          <w:szCs w:val="22"/>
        </w:rPr>
        <w:t>Itani</w:t>
      </w:r>
      <w:proofErr w:type="spellEnd"/>
      <w:r w:rsidRPr="00303EBB">
        <w:rPr>
          <w:sz w:val="22"/>
          <w:szCs w:val="22"/>
        </w:rPr>
        <w:t xml:space="preserve"> KM, Hawn MT. Coronary stents and subsequent surgery: reported provider attitudes and practice patterns. Am Surg. 2013 May;79(5):514-23.</w:t>
      </w:r>
    </w:p>
    <w:p w14:paraId="68B8EA50" w14:textId="77777777" w:rsidR="00CD5515" w:rsidRDefault="00CD5515" w:rsidP="00CD5515">
      <w:pPr>
        <w:pStyle w:val="List1stLevel"/>
        <w:spacing w:before="0" w:after="0" w:line="240" w:lineRule="auto"/>
        <w:ind w:left="0" w:firstLine="0"/>
        <w:rPr>
          <w:rFonts w:ascii="Arial" w:hAnsi="Arial" w:cs="Arial"/>
        </w:rPr>
      </w:pPr>
    </w:p>
    <w:p w14:paraId="1901E4BE" w14:textId="77777777" w:rsidR="00CD5515" w:rsidRPr="00282E3F" w:rsidRDefault="00CD5515" w:rsidP="00CD5515">
      <w:pPr>
        <w:pStyle w:val="List1stLevel"/>
        <w:numPr>
          <w:ilvl w:val="0"/>
          <w:numId w:val="19"/>
        </w:numPr>
        <w:rPr>
          <w:rFonts w:ascii="Arial" w:hAnsi="Arial" w:cs="Arial"/>
          <w:bCs/>
          <w:iCs/>
        </w:rPr>
      </w:pPr>
      <w:r w:rsidRPr="00282E3F">
        <w:rPr>
          <w:rFonts w:ascii="Arial" w:eastAsia="Times New Roman" w:hAnsi="Arial" w:cs="Arial"/>
          <w:bCs/>
          <w:iCs/>
        </w:rPr>
        <w:t xml:space="preserve">The Surgical Care Improvement Program (SCIP), of which VHA is one of 34 partners, had the goal of reducing surgical complications by 25% by 2010. While these measures were intended to reduce surgical complications, few studies had shown associations between individual SCIP performance measures and the adverse surgical outcomes they are intended to prevent. I </w:t>
      </w:r>
      <w:r>
        <w:rPr>
          <w:rFonts w:ascii="Arial" w:eastAsia="Times New Roman" w:hAnsi="Arial" w:cs="Arial"/>
          <w:bCs/>
          <w:iCs/>
        </w:rPr>
        <w:t>worked as an analyst on</w:t>
      </w:r>
      <w:r w:rsidRPr="00282E3F">
        <w:rPr>
          <w:rFonts w:ascii="Arial" w:eastAsia="Times New Roman" w:hAnsi="Arial" w:cs="Arial"/>
          <w:bCs/>
          <w:iCs/>
        </w:rPr>
        <w:t xml:space="preserve"> the </w:t>
      </w:r>
      <w:r>
        <w:rPr>
          <w:rFonts w:ascii="Arial" w:eastAsia="Times New Roman" w:hAnsi="Arial" w:cs="Arial"/>
          <w:bCs/>
          <w:iCs/>
        </w:rPr>
        <w:t>VA Health Services Research &amp; Development</w:t>
      </w:r>
      <w:r w:rsidRPr="00282E3F">
        <w:rPr>
          <w:rFonts w:ascii="Arial" w:eastAsia="Times New Roman" w:hAnsi="Arial" w:cs="Arial"/>
          <w:bCs/>
          <w:iCs/>
        </w:rPr>
        <w:t xml:space="preserve"> study ‘Measuring Up: Associations between SCIP measures and Surgical Outcomes</w:t>
      </w:r>
      <w:r w:rsidRPr="00282E3F">
        <w:rPr>
          <w:rFonts w:ascii="Arial" w:hAnsi="Arial" w:cs="Arial"/>
          <w:bCs/>
          <w:iCs/>
        </w:rPr>
        <w:t xml:space="preserve">’ (PPO 10-296) which examined the infection, </w:t>
      </w:r>
      <w:r w:rsidRPr="00282E3F">
        <w:rPr>
          <w:rFonts w:ascii="Arial" w:hAnsi="Arial" w:cs="Arial"/>
        </w:rPr>
        <w:t>venous thromboembolism (</w:t>
      </w:r>
      <w:r w:rsidRPr="00282E3F">
        <w:rPr>
          <w:rFonts w:ascii="Arial" w:hAnsi="Arial" w:cs="Arial"/>
          <w:bCs/>
          <w:iCs/>
        </w:rPr>
        <w:t>VTE), and cardiac event prevention modules. In our study, a</w:t>
      </w:r>
      <w:r w:rsidRPr="00282E3F">
        <w:rPr>
          <w:rFonts w:ascii="Arial" w:hAnsi="Arial" w:cs="Arial"/>
        </w:rPr>
        <w:t xml:space="preserve">dherence to any of the three modules was not significantly associated with a decrease of the targeted adverse events. Our study also produced </w:t>
      </w:r>
      <w:proofErr w:type="gramStart"/>
      <w:r w:rsidRPr="00282E3F">
        <w:rPr>
          <w:rFonts w:ascii="Arial" w:hAnsi="Arial" w:cs="Arial"/>
        </w:rPr>
        <w:t>a landmark papers</w:t>
      </w:r>
      <w:proofErr w:type="gramEnd"/>
      <w:r w:rsidRPr="00282E3F">
        <w:rPr>
          <w:rFonts w:ascii="Arial" w:hAnsi="Arial" w:cs="Arial"/>
        </w:rPr>
        <w:t xml:space="preserve"> on how the choice and timing of oral antibiotic prep for colorectal surgery was associated with a greater than 50% reduction in SSI which may influence guidelines and quality measures in the future</w:t>
      </w:r>
      <w:r w:rsidRPr="00282E3F">
        <w:rPr>
          <w:rFonts w:ascii="Arial" w:hAnsi="Arial" w:cs="Arial"/>
          <w:bCs/>
          <w:iCs/>
        </w:rPr>
        <w:t>.</w:t>
      </w:r>
    </w:p>
    <w:p w14:paraId="78B11327" w14:textId="77777777" w:rsidR="00CD5515" w:rsidRPr="002937FC" w:rsidRDefault="00CD5515" w:rsidP="00CD5515">
      <w:pPr>
        <w:pStyle w:val="List1stLevel"/>
        <w:numPr>
          <w:ilvl w:val="1"/>
          <w:numId w:val="19"/>
        </w:numPr>
        <w:rPr>
          <w:rFonts w:ascii="Arial" w:hAnsi="Arial" w:cs="Arial"/>
          <w:bCs/>
          <w:iCs/>
        </w:rPr>
      </w:pPr>
      <w:r w:rsidRPr="002937FC">
        <w:rPr>
          <w:rFonts w:ascii="Arial" w:hAnsi="Arial" w:cs="Arial"/>
        </w:rPr>
        <w:t xml:space="preserve">Hawn MT, Richman JS, Vick CC, </w:t>
      </w:r>
      <w:proofErr w:type="spellStart"/>
      <w:r w:rsidRPr="002937FC">
        <w:rPr>
          <w:rFonts w:ascii="Arial" w:hAnsi="Arial" w:cs="Arial"/>
        </w:rPr>
        <w:t>Deierhoi</w:t>
      </w:r>
      <w:proofErr w:type="spellEnd"/>
      <w:r w:rsidRPr="002937FC">
        <w:rPr>
          <w:rFonts w:ascii="Arial" w:hAnsi="Arial" w:cs="Arial"/>
        </w:rPr>
        <w:t xml:space="preserve"> RJ, </w:t>
      </w:r>
      <w:r w:rsidRPr="002937FC">
        <w:rPr>
          <w:rFonts w:ascii="Arial" w:hAnsi="Arial" w:cs="Arial"/>
          <w:b/>
        </w:rPr>
        <w:t>Graham LA</w:t>
      </w:r>
      <w:r w:rsidRPr="002937FC">
        <w:rPr>
          <w:rFonts w:ascii="Arial" w:hAnsi="Arial" w:cs="Arial"/>
        </w:rPr>
        <w:t xml:space="preserve">, Henderson WG, </w:t>
      </w:r>
      <w:proofErr w:type="spellStart"/>
      <w:r w:rsidRPr="002937FC">
        <w:rPr>
          <w:rFonts w:ascii="Arial" w:hAnsi="Arial" w:cs="Arial"/>
        </w:rPr>
        <w:t>Itani</w:t>
      </w:r>
      <w:proofErr w:type="spellEnd"/>
      <w:r w:rsidRPr="002937FC">
        <w:rPr>
          <w:rFonts w:ascii="Arial" w:hAnsi="Arial" w:cs="Arial"/>
        </w:rPr>
        <w:t xml:space="preserve"> KM. Timing of surgical antibiotic prophylaxis and the risk of surgical site infection. JAMA surgery. 2013 Jul 1; 148(7):649-57.</w:t>
      </w:r>
    </w:p>
    <w:p w14:paraId="3C38BFF8" w14:textId="77777777" w:rsidR="00CD5515" w:rsidRPr="002937FC" w:rsidRDefault="00CD5515" w:rsidP="00CD5515">
      <w:pPr>
        <w:pStyle w:val="List1stLevel"/>
        <w:numPr>
          <w:ilvl w:val="1"/>
          <w:numId w:val="19"/>
        </w:numPr>
        <w:rPr>
          <w:rFonts w:ascii="Arial" w:hAnsi="Arial" w:cs="Arial"/>
          <w:bCs/>
          <w:iCs/>
        </w:rPr>
      </w:pPr>
      <w:r w:rsidRPr="002937FC">
        <w:rPr>
          <w:rFonts w:ascii="Arial" w:hAnsi="Arial" w:cs="Arial"/>
        </w:rPr>
        <w:t xml:space="preserve">Hawn MT, Vick CC, Richman J, Holman W, </w:t>
      </w:r>
      <w:proofErr w:type="spellStart"/>
      <w:r w:rsidRPr="002937FC">
        <w:rPr>
          <w:rFonts w:ascii="Arial" w:hAnsi="Arial" w:cs="Arial"/>
        </w:rPr>
        <w:t>Deierhoi</w:t>
      </w:r>
      <w:proofErr w:type="spellEnd"/>
      <w:r w:rsidRPr="002937FC">
        <w:rPr>
          <w:rFonts w:ascii="Arial" w:hAnsi="Arial" w:cs="Arial"/>
        </w:rPr>
        <w:t xml:space="preserve"> RJ, </w:t>
      </w:r>
      <w:r w:rsidRPr="002937FC">
        <w:rPr>
          <w:rFonts w:ascii="Arial" w:hAnsi="Arial" w:cs="Arial"/>
          <w:b/>
        </w:rPr>
        <w:t>Graham LA</w:t>
      </w:r>
      <w:r w:rsidRPr="002937FC">
        <w:rPr>
          <w:rFonts w:ascii="Arial" w:hAnsi="Arial" w:cs="Arial"/>
        </w:rPr>
        <w:t xml:space="preserve">, Henderson WG, </w:t>
      </w:r>
      <w:proofErr w:type="spellStart"/>
      <w:r w:rsidRPr="002937FC">
        <w:rPr>
          <w:rFonts w:ascii="Arial" w:hAnsi="Arial" w:cs="Arial"/>
        </w:rPr>
        <w:t>Itani</w:t>
      </w:r>
      <w:proofErr w:type="spellEnd"/>
      <w:r w:rsidRPr="002937FC">
        <w:rPr>
          <w:rFonts w:ascii="Arial" w:hAnsi="Arial" w:cs="Arial"/>
        </w:rPr>
        <w:t xml:space="preserve"> KM. Surgical site infection prevention: time to move beyond the surgical care improvement program. Annals of surgery. 2011 Sep 1; 254(3):494-9; discussion 499-501.</w:t>
      </w:r>
    </w:p>
    <w:p w14:paraId="68297039" w14:textId="77777777" w:rsidR="00CD5515" w:rsidRDefault="00CD5515" w:rsidP="00CD5515">
      <w:pPr>
        <w:pStyle w:val="List1stLevel"/>
        <w:spacing w:before="0" w:after="0" w:line="240" w:lineRule="auto"/>
        <w:ind w:left="360" w:firstLine="0"/>
        <w:rPr>
          <w:rFonts w:ascii="Arial" w:hAnsi="Arial" w:cs="Arial"/>
        </w:rPr>
      </w:pPr>
    </w:p>
    <w:p w14:paraId="18C32076" w14:textId="77777777" w:rsidR="00CD5515" w:rsidRDefault="00CD5515" w:rsidP="00CD5515">
      <w:pPr>
        <w:pStyle w:val="List1stLevel"/>
        <w:numPr>
          <w:ilvl w:val="0"/>
          <w:numId w:val="19"/>
        </w:numPr>
        <w:spacing w:before="0" w:after="0" w:line="240" w:lineRule="auto"/>
        <w:rPr>
          <w:rFonts w:ascii="Arial" w:hAnsi="Arial" w:cs="Arial"/>
        </w:rPr>
      </w:pPr>
      <w:r w:rsidRPr="0046310C">
        <w:rPr>
          <w:rFonts w:ascii="Arial" w:hAnsi="Arial" w:cs="Arial"/>
        </w:rPr>
        <w:t>Abdominal wall hernias are one of the most common conditions</w:t>
      </w:r>
      <w:r>
        <w:rPr>
          <w:rFonts w:ascii="Arial" w:hAnsi="Arial" w:cs="Arial"/>
        </w:rPr>
        <w:t xml:space="preserve"> treated by the general surgeon, yet the outcomes remain poor.  I worked as an analyst on a project applying multi-level statistical techniques to examine variability in and predictors of hernia recurrence and wound complication following ventral hernia repair as well as to examine the effect on patient quality of life.  </w:t>
      </w:r>
      <w:r w:rsidRPr="0046310C">
        <w:rPr>
          <w:rFonts w:ascii="Arial" w:hAnsi="Arial" w:cs="Arial"/>
        </w:rPr>
        <w:t>The main finding f</w:t>
      </w:r>
      <w:r>
        <w:rPr>
          <w:rFonts w:ascii="Arial" w:hAnsi="Arial" w:cs="Arial"/>
        </w:rPr>
        <w:t>rom the patient level analysis was that underlay mesh technique</w:t>
      </w:r>
      <w:r w:rsidRPr="0046310C">
        <w:rPr>
          <w:rFonts w:ascii="Arial" w:hAnsi="Arial" w:cs="Arial"/>
        </w:rPr>
        <w:t xml:space="preserve"> </w:t>
      </w:r>
      <w:r>
        <w:rPr>
          <w:rFonts w:ascii="Arial" w:hAnsi="Arial" w:cs="Arial"/>
        </w:rPr>
        <w:t>is</w:t>
      </w:r>
      <w:r w:rsidRPr="0046310C">
        <w:rPr>
          <w:rFonts w:ascii="Arial" w:hAnsi="Arial" w:cs="Arial"/>
        </w:rPr>
        <w:t xml:space="preserve"> associated with lower recurrence rates without significant increase in complications when compared to other mesh techniques and suture repair.</w:t>
      </w:r>
    </w:p>
    <w:p w14:paraId="10C11BF9" w14:textId="77777777" w:rsidR="00CD5515" w:rsidRDefault="00CD5515" w:rsidP="00CD5515">
      <w:pPr>
        <w:pStyle w:val="ListParagraph"/>
        <w:numPr>
          <w:ilvl w:val="1"/>
          <w:numId w:val="19"/>
        </w:numPr>
        <w:rPr>
          <w:rFonts w:ascii="Arial" w:hAnsi="Arial" w:cs="Arial"/>
          <w:sz w:val="22"/>
          <w:szCs w:val="22"/>
        </w:rPr>
      </w:pPr>
      <w:r w:rsidRPr="00303EBB">
        <w:rPr>
          <w:rFonts w:ascii="Arial" w:hAnsi="Arial" w:cs="Arial"/>
          <w:sz w:val="22"/>
          <w:szCs w:val="22"/>
        </w:rPr>
        <w:t xml:space="preserve">Hawn MT, Snyder CW, </w:t>
      </w:r>
      <w:r w:rsidRPr="00303EBB">
        <w:rPr>
          <w:rFonts w:ascii="Arial" w:hAnsi="Arial" w:cs="Arial"/>
          <w:b/>
          <w:sz w:val="22"/>
          <w:szCs w:val="22"/>
        </w:rPr>
        <w:t>Graham LA</w:t>
      </w:r>
      <w:r w:rsidRPr="00303EBB">
        <w:rPr>
          <w:rFonts w:ascii="Arial" w:hAnsi="Arial" w:cs="Arial"/>
          <w:sz w:val="22"/>
          <w:szCs w:val="22"/>
        </w:rPr>
        <w:t xml:space="preserve">, Gray SH, </w:t>
      </w:r>
      <w:proofErr w:type="spellStart"/>
      <w:r w:rsidRPr="00303EBB">
        <w:rPr>
          <w:rFonts w:ascii="Arial" w:hAnsi="Arial" w:cs="Arial"/>
          <w:sz w:val="22"/>
          <w:szCs w:val="22"/>
        </w:rPr>
        <w:t>Finan</w:t>
      </w:r>
      <w:proofErr w:type="spellEnd"/>
      <w:r w:rsidRPr="00303EBB">
        <w:rPr>
          <w:rFonts w:ascii="Arial" w:hAnsi="Arial" w:cs="Arial"/>
          <w:sz w:val="22"/>
          <w:szCs w:val="22"/>
        </w:rPr>
        <w:t xml:space="preserve"> KR, Vick CC. Long-term follow-up of technical outcomes for incisional hernia repair. J Am Coll Surg. 2010 May;210(5):648-55, 655-7. </w:t>
      </w:r>
    </w:p>
    <w:p w14:paraId="5B5ACF69" w14:textId="77777777" w:rsidR="00CD5515" w:rsidRDefault="00CD5515" w:rsidP="00CD5515">
      <w:pPr>
        <w:pStyle w:val="ListParagraph"/>
        <w:numPr>
          <w:ilvl w:val="1"/>
          <w:numId w:val="19"/>
        </w:numPr>
        <w:rPr>
          <w:rFonts w:ascii="Arial" w:hAnsi="Arial" w:cs="Arial"/>
          <w:sz w:val="22"/>
          <w:szCs w:val="22"/>
        </w:rPr>
      </w:pPr>
      <w:r w:rsidRPr="00303EBB">
        <w:rPr>
          <w:rFonts w:ascii="Arial" w:hAnsi="Arial" w:cs="Arial"/>
          <w:b/>
          <w:sz w:val="22"/>
          <w:szCs w:val="22"/>
        </w:rPr>
        <w:t>Graham LA</w:t>
      </w:r>
      <w:r w:rsidRPr="00303EBB">
        <w:rPr>
          <w:rFonts w:ascii="Arial" w:hAnsi="Arial" w:cs="Arial"/>
          <w:sz w:val="22"/>
          <w:szCs w:val="22"/>
        </w:rPr>
        <w:t xml:space="preserve">, </w:t>
      </w:r>
      <w:proofErr w:type="spellStart"/>
      <w:r w:rsidRPr="00303EBB">
        <w:rPr>
          <w:rFonts w:ascii="Arial" w:hAnsi="Arial" w:cs="Arial"/>
          <w:sz w:val="22"/>
          <w:szCs w:val="22"/>
        </w:rPr>
        <w:t>Altom</w:t>
      </w:r>
      <w:proofErr w:type="spellEnd"/>
      <w:r w:rsidRPr="00303EBB">
        <w:rPr>
          <w:rFonts w:ascii="Arial" w:hAnsi="Arial" w:cs="Arial"/>
          <w:sz w:val="22"/>
          <w:szCs w:val="22"/>
        </w:rPr>
        <w:t xml:space="preserve"> LK, Vick CC, Snyder CW, </w:t>
      </w:r>
      <w:proofErr w:type="spellStart"/>
      <w:r w:rsidRPr="00303EBB">
        <w:rPr>
          <w:rFonts w:ascii="Arial" w:hAnsi="Arial" w:cs="Arial"/>
          <w:sz w:val="22"/>
          <w:szCs w:val="22"/>
        </w:rPr>
        <w:t>Deierhoi</w:t>
      </w:r>
      <w:proofErr w:type="spellEnd"/>
      <w:r w:rsidRPr="00303EBB">
        <w:rPr>
          <w:rFonts w:ascii="Arial" w:hAnsi="Arial" w:cs="Arial"/>
          <w:sz w:val="22"/>
          <w:szCs w:val="22"/>
        </w:rPr>
        <w:t xml:space="preserve"> RJ, Hawn MT. Agreement between patient survey and medical chart: Pitfalls in measurement strategies for hernia recurrence. Surgery. 2011 ep;150(3):371-8. </w:t>
      </w:r>
      <w:proofErr w:type="spellStart"/>
      <w:r w:rsidRPr="00303EBB">
        <w:rPr>
          <w:rFonts w:ascii="Arial" w:hAnsi="Arial" w:cs="Arial"/>
          <w:sz w:val="22"/>
          <w:szCs w:val="22"/>
        </w:rPr>
        <w:t>Epub</w:t>
      </w:r>
      <w:proofErr w:type="spellEnd"/>
      <w:r w:rsidRPr="00303EBB">
        <w:rPr>
          <w:rFonts w:ascii="Arial" w:hAnsi="Arial" w:cs="Arial"/>
          <w:sz w:val="22"/>
          <w:szCs w:val="22"/>
        </w:rPr>
        <w:t xml:space="preserve"> 2011 Jul 23.</w:t>
      </w:r>
    </w:p>
    <w:p w14:paraId="45D3D293" w14:textId="6639CDF4" w:rsidR="00CD5515" w:rsidRDefault="00CD5515" w:rsidP="00CD5515">
      <w:pPr>
        <w:pStyle w:val="ListParagraph"/>
        <w:numPr>
          <w:ilvl w:val="1"/>
          <w:numId w:val="19"/>
        </w:numPr>
        <w:rPr>
          <w:rFonts w:ascii="Arial" w:hAnsi="Arial" w:cs="Arial"/>
          <w:sz w:val="22"/>
          <w:szCs w:val="22"/>
        </w:rPr>
      </w:pPr>
      <w:r w:rsidRPr="00303EBB">
        <w:rPr>
          <w:rFonts w:ascii="Arial" w:hAnsi="Arial" w:cs="Arial"/>
          <w:sz w:val="22"/>
          <w:szCs w:val="22"/>
        </w:rPr>
        <w:t xml:space="preserve">Snyder CW, </w:t>
      </w:r>
      <w:r w:rsidRPr="00303EBB">
        <w:rPr>
          <w:rFonts w:ascii="Arial" w:hAnsi="Arial" w:cs="Arial"/>
          <w:b/>
          <w:sz w:val="22"/>
          <w:szCs w:val="22"/>
        </w:rPr>
        <w:t>Graham LA</w:t>
      </w:r>
      <w:r w:rsidRPr="00303EBB">
        <w:rPr>
          <w:rFonts w:ascii="Arial" w:hAnsi="Arial" w:cs="Arial"/>
          <w:sz w:val="22"/>
          <w:szCs w:val="22"/>
        </w:rPr>
        <w:t xml:space="preserve">, Vick CC, Gray SH, </w:t>
      </w:r>
      <w:proofErr w:type="spellStart"/>
      <w:r w:rsidRPr="00303EBB">
        <w:rPr>
          <w:rFonts w:ascii="Arial" w:hAnsi="Arial" w:cs="Arial"/>
          <w:sz w:val="22"/>
          <w:szCs w:val="22"/>
        </w:rPr>
        <w:t>Finan</w:t>
      </w:r>
      <w:proofErr w:type="spellEnd"/>
      <w:r w:rsidRPr="00303EBB">
        <w:rPr>
          <w:rFonts w:ascii="Arial" w:hAnsi="Arial" w:cs="Arial"/>
          <w:sz w:val="22"/>
          <w:szCs w:val="22"/>
        </w:rPr>
        <w:t xml:space="preserve"> KR, Hawn MT. Patient satisfaction, chronic pain, and quality of life after elective incisional hernia repair: effects of recurrence and repair technique. Hernia. 2011 Apr;15(2):123-9. </w:t>
      </w:r>
      <w:proofErr w:type="spellStart"/>
      <w:r w:rsidRPr="00303EBB">
        <w:rPr>
          <w:rFonts w:ascii="Arial" w:hAnsi="Arial" w:cs="Arial"/>
          <w:sz w:val="22"/>
          <w:szCs w:val="22"/>
        </w:rPr>
        <w:t>Epub</w:t>
      </w:r>
      <w:proofErr w:type="spellEnd"/>
      <w:r w:rsidRPr="00303EBB">
        <w:rPr>
          <w:rFonts w:ascii="Arial" w:hAnsi="Arial" w:cs="Arial"/>
          <w:sz w:val="22"/>
          <w:szCs w:val="22"/>
        </w:rPr>
        <w:t xml:space="preserve"> 2010 Nov 12.</w:t>
      </w:r>
    </w:p>
    <w:p w14:paraId="529EEF51" w14:textId="77777777" w:rsidR="00CD5515" w:rsidRPr="002937FC" w:rsidRDefault="00CD5515" w:rsidP="00CD5515">
      <w:pPr>
        <w:pStyle w:val="ListParagraph"/>
        <w:rPr>
          <w:rFonts w:ascii="Arial" w:hAnsi="Arial" w:cs="Arial"/>
          <w:sz w:val="22"/>
          <w:szCs w:val="22"/>
        </w:rPr>
      </w:pPr>
      <w:bookmarkStart w:id="0" w:name="_GoBack"/>
      <w:bookmarkEnd w:id="0"/>
    </w:p>
    <w:p w14:paraId="2E827232" w14:textId="61FA054D" w:rsidR="00FC5F9E" w:rsidRPr="00E95EE8" w:rsidRDefault="002C51BC" w:rsidP="002C51BC">
      <w:r w:rsidRPr="00A128A0">
        <w:rPr>
          <w:rStyle w:val="Strong"/>
        </w:rPr>
        <w:lastRenderedPageBreak/>
        <w:t>D.</w:t>
      </w:r>
      <w:r w:rsidRPr="00A128A0">
        <w:rPr>
          <w:rStyle w:val="Strong"/>
        </w:rPr>
        <w:tab/>
        <w:t>Additional Information: Research Support and/or Scholastic Performance</w:t>
      </w:r>
      <w:r w:rsidR="00FC5F9E" w:rsidRPr="00E95EE8">
        <w:t xml:space="preserve"> </w:t>
      </w:r>
    </w:p>
    <w:p w14:paraId="6D2A4C33" w14:textId="77777777" w:rsidR="00CE292E" w:rsidRDefault="00CE292E" w:rsidP="00CE292E">
      <w:pPr>
        <w:pStyle w:val="CM2"/>
        <w:spacing w:line="240" w:lineRule="auto"/>
        <w:rPr>
          <w:sz w:val="22"/>
          <w:szCs w:val="22"/>
        </w:rPr>
      </w:pPr>
    </w:p>
    <w:p w14:paraId="20BE4860" w14:textId="745BF826" w:rsidR="00CE292E" w:rsidRPr="00CE292E" w:rsidRDefault="00CE292E" w:rsidP="00A004DC">
      <w:pPr>
        <w:tabs>
          <w:tab w:val="left" w:pos="2880"/>
          <w:tab w:val="left" w:pos="5040"/>
        </w:tabs>
        <w:rPr>
          <w:rFonts w:cs="Arial"/>
          <w:bCs/>
          <w:iCs/>
          <w:szCs w:val="22"/>
        </w:rPr>
      </w:pPr>
      <w:r w:rsidRPr="00CE292E">
        <w:rPr>
          <w:rFonts w:cs="Arial"/>
          <w:bCs/>
          <w:iCs/>
          <w:szCs w:val="22"/>
        </w:rPr>
        <w:t>17MCPRP33350072</w:t>
      </w:r>
      <w:r w:rsidR="00A004DC">
        <w:rPr>
          <w:rFonts w:cs="Arial"/>
          <w:bCs/>
          <w:iCs/>
          <w:szCs w:val="22"/>
        </w:rPr>
        <w:tab/>
        <w:t>Graham (PI)</w:t>
      </w:r>
      <w:r w:rsidR="00A004DC">
        <w:rPr>
          <w:rFonts w:cs="Arial"/>
          <w:bCs/>
          <w:iCs/>
          <w:szCs w:val="22"/>
        </w:rPr>
        <w:tab/>
      </w:r>
      <w:r w:rsidRPr="00CE292E">
        <w:rPr>
          <w:rFonts w:cs="Arial"/>
          <w:bCs/>
          <w:iCs/>
          <w:szCs w:val="22"/>
        </w:rPr>
        <w:t>01/01/2017-12/31/2018</w:t>
      </w:r>
      <w:r w:rsidRPr="00CE292E">
        <w:rPr>
          <w:rFonts w:cs="Arial"/>
          <w:bCs/>
          <w:iCs/>
          <w:szCs w:val="22"/>
        </w:rPr>
        <w:tab/>
      </w:r>
    </w:p>
    <w:p w14:paraId="3EEB4039" w14:textId="276D4390" w:rsidR="00CE292E" w:rsidRPr="00CE292E" w:rsidRDefault="00CE292E" w:rsidP="00CE292E">
      <w:pPr>
        <w:tabs>
          <w:tab w:val="left" w:pos="4320"/>
          <w:tab w:val="left" w:pos="7920"/>
        </w:tabs>
        <w:rPr>
          <w:rFonts w:cs="Arial"/>
          <w:bCs/>
          <w:iCs/>
          <w:szCs w:val="22"/>
        </w:rPr>
      </w:pPr>
      <w:r w:rsidRPr="00CE292E">
        <w:rPr>
          <w:rFonts w:cs="Arial"/>
          <w:bCs/>
          <w:iCs/>
          <w:szCs w:val="22"/>
        </w:rPr>
        <w:t>American Heart Association</w:t>
      </w:r>
      <w:r w:rsidRPr="00CE292E">
        <w:rPr>
          <w:rFonts w:cs="Arial"/>
          <w:bCs/>
          <w:iCs/>
          <w:szCs w:val="22"/>
        </w:rPr>
        <w:tab/>
      </w:r>
    </w:p>
    <w:p w14:paraId="75974ACD" w14:textId="0A4E4413" w:rsidR="00CE292E" w:rsidRPr="00CE292E" w:rsidRDefault="00CE292E" w:rsidP="00CE292E">
      <w:pPr>
        <w:tabs>
          <w:tab w:val="left" w:pos="7200"/>
        </w:tabs>
        <w:rPr>
          <w:rFonts w:cs="Arial"/>
          <w:bCs/>
          <w:iCs/>
          <w:szCs w:val="22"/>
        </w:rPr>
      </w:pPr>
      <w:r w:rsidRPr="00CE292E">
        <w:rPr>
          <w:rFonts w:cs="Arial"/>
          <w:b/>
          <w:bCs/>
          <w:iCs/>
          <w:szCs w:val="22"/>
        </w:rPr>
        <w:t>Improving Participation and Reducing Acute Cardiovascular Hospitalizations with Weight Management (</w:t>
      </w:r>
      <w:proofErr w:type="spellStart"/>
      <w:r w:rsidRPr="00CE292E">
        <w:rPr>
          <w:rFonts w:cs="Arial"/>
          <w:b/>
          <w:bCs/>
          <w:iCs/>
          <w:szCs w:val="22"/>
        </w:rPr>
        <w:t>ReACH</w:t>
      </w:r>
      <w:proofErr w:type="spellEnd"/>
      <w:r w:rsidRPr="00CE292E">
        <w:rPr>
          <w:rFonts w:cs="Arial"/>
          <w:b/>
          <w:bCs/>
          <w:iCs/>
          <w:szCs w:val="22"/>
        </w:rPr>
        <w:t>)</w:t>
      </w:r>
    </w:p>
    <w:p w14:paraId="481D986D" w14:textId="77777777" w:rsidR="00CE292E" w:rsidRPr="00CE292E" w:rsidRDefault="00CE292E" w:rsidP="00CE292E">
      <w:pPr>
        <w:tabs>
          <w:tab w:val="left" w:pos="7200"/>
        </w:tabs>
        <w:rPr>
          <w:rFonts w:cs="Arial"/>
          <w:bCs/>
          <w:iCs/>
          <w:szCs w:val="22"/>
        </w:rPr>
      </w:pPr>
      <w:r w:rsidRPr="00CE292E">
        <w:rPr>
          <w:rFonts w:cs="Arial"/>
          <w:bCs/>
          <w:iCs/>
          <w:szCs w:val="22"/>
        </w:rPr>
        <w:t>This study utilizes data from the Veterans Affairs (VA) Healthcare MOVE! program and no-VA community-level resources to assess factors affecting recruitment and engagement in lifestyle interventions targeting improved cardiovascular health.  The study also strives to examine factors affecting long-term cardiovascular among individuals enrolled in lifestyle interventions.</w:t>
      </w:r>
    </w:p>
    <w:p w14:paraId="326D747A" w14:textId="77777777" w:rsidR="00CE292E" w:rsidRPr="00CE292E" w:rsidRDefault="00CE292E" w:rsidP="00CE292E">
      <w:pPr>
        <w:tabs>
          <w:tab w:val="left" w:pos="7200"/>
        </w:tabs>
        <w:rPr>
          <w:rFonts w:cs="Arial"/>
          <w:b/>
          <w:bCs/>
          <w:iCs/>
          <w:szCs w:val="22"/>
        </w:rPr>
      </w:pPr>
      <w:r w:rsidRPr="00CE292E">
        <w:rPr>
          <w:rFonts w:cs="Arial"/>
          <w:b/>
          <w:bCs/>
          <w:iCs/>
          <w:szCs w:val="22"/>
        </w:rPr>
        <w:t>Role: Principal Investigator</w:t>
      </w:r>
    </w:p>
    <w:p w14:paraId="47246810" w14:textId="77777777" w:rsidR="00CE292E" w:rsidRPr="00513A40" w:rsidRDefault="00CE292E" w:rsidP="00CE292E">
      <w:pPr>
        <w:pStyle w:val="CM2"/>
        <w:spacing w:line="240" w:lineRule="auto"/>
        <w:rPr>
          <w:b/>
          <w:sz w:val="22"/>
          <w:szCs w:val="22"/>
        </w:rPr>
      </w:pPr>
      <w:r>
        <w:rPr>
          <w:sz w:val="22"/>
          <w:szCs w:val="22"/>
        </w:rPr>
        <w:br/>
      </w:r>
      <w:r w:rsidRPr="00513A40">
        <w:rPr>
          <w:b/>
          <w:sz w:val="22"/>
          <w:szCs w:val="22"/>
        </w:rPr>
        <w:t>Completed Research Support</w:t>
      </w:r>
    </w:p>
    <w:p w14:paraId="036B518E" w14:textId="77777777" w:rsidR="00CE292E" w:rsidRDefault="00CE292E" w:rsidP="00CE292E">
      <w:pPr>
        <w:pStyle w:val="CM2"/>
        <w:spacing w:line="240" w:lineRule="auto"/>
        <w:rPr>
          <w:sz w:val="22"/>
          <w:szCs w:val="22"/>
        </w:rPr>
      </w:pPr>
    </w:p>
    <w:p w14:paraId="67EDD562" w14:textId="735F1730" w:rsidR="00CE292E" w:rsidRPr="00513A40" w:rsidRDefault="00CE292E" w:rsidP="00CE292E">
      <w:pPr>
        <w:pStyle w:val="CM2"/>
        <w:spacing w:line="240" w:lineRule="auto"/>
        <w:rPr>
          <w:sz w:val="22"/>
          <w:szCs w:val="22"/>
        </w:rPr>
      </w:pPr>
      <w:r w:rsidRPr="00513A40">
        <w:rPr>
          <w:sz w:val="22"/>
          <w:szCs w:val="22"/>
        </w:rPr>
        <w:t>IIR 09-347-2</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Hawn (PI)</w:t>
      </w:r>
      <w:r>
        <w:rPr>
          <w:sz w:val="22"/>
          <w:szCs w:val="22"/>
        </w:rPr>
        <w:tab/>
      </w:r>
      <w:r>
        <w:rPr>
          <w:sz w:val="22"/>
          <w:szCs w:val="22"/>
        </w:rPr>
        <w:tab/>
      </w:r>
      <w:r>
        <w:rPr>
          <w:sz w:val="22"/>
          <w:szCs w:val="22"/>
        </w:rPr>
        <w:tab/>
      </w:r>
      <w:r>
        <w:rPr>
          <w:sz w:val="22"/>
          <w:szCs w:val="22"/>
        </w:rPr>
        <w:tab/>
        <w:t>10/01/</w:t>
      </w:r>
      <w:r w:rsidR="00A004DC">
        <w:rPr>
          <w:sz w:val="22"/>
          <w:szCs w:val="22"/>
        </w:rPr>
        <w:t>20</w:t>
      </w:r>
      <w:r>
        <w:rPr>
          <w:sz w:val="22"/>
          <w:szCs w:val="22"/>
        </w:rPr>
        <w:t>14 - 09</w:t>
      </w:r>
      <w:r w:rsidRPr="00513A40">
        <w:rPr>
          <w:sz w:val="22"/>
          <w:szCs w:val="22"/>
        </w:rPr>
        <w:t>/3</w:t>
      </w:r>
      <w:r>
        <w:rPr>
          <w:sz w:val="22"/>
          <w:szCs w:val="22"/>
        </w:rPr>
        <w:t>0/</w:t>
      </w:r>
      <w:r w:rsidR="00A004DC">
        <w:rPr>
          <w:sz w:val="22"/>
          <w:szCs w:val="22"/>
        </w:rPr>
        <w:t>20</w:t>
      </w:r>
      <w:r>
        <w:rPr>
          <w:sz w:val="22"/>
          <w:szCs w:val="22"/>
        </w:rPr>
        <w:t xml:space="preserve">17  </w:t>
      </w:r>
      <w:r>
        <w:rPr>
          <w:sz w:val="22"/>
          <w:szCs w:val="22"/>
        </w:rPr>
        <w:tab/>
      </w:r>
      <w:r>
        <w:rPr>
          <w:sz w:val="22"/>
          <w:szCs w:val="22"/>
        </w:rPr>
        <w:tab/>
      </w:r>
      <w:r>
        <w:rPr>
          <w:sz w:val="22"/>
          <w:szCs w:val="22"/>
        </w:rPr>
        <w:tab/>
      </w:r>
    </w:p>
    <w:p w14:paraId="2A1FF9F4" w14:textId="77777777" w:rsidR="00CE292E" w:rsidRPr="00513A40" w:rsidRDefault="00CE292E" w:rsidP="00CE292E">
      <w:pPr>
        <w:pStyle w:val="CM2"/>
        <w:spacing w:line="240" w:lineRule="auto"/>
        <w:rPr>
          <w:sz w:val="22"/>
          <w:szCs w:val="22"/>
        </w:rPr>
      </w:pPr>
      <w:r w:rsidRPr="00513A40">
        <w:rPr>
          <w:sz w:val="22"/>
          <w:szCs w:val="22"/>
        </w:rPr>
        <w:t xml:space="preserve">VA HSR&amp;D </w:t>
      </w:r>
      <w:r w:rsidRPr="00513A40">
        <w:rPr>
          <w:sz w:val="22"/>
          <w:szCs w:val="22"/>
        </w:rPr>
        <w:tab/>
      </w:r>
      <w:r w:rsidRPr="00513A40">
        <w:rPr>
          <w:sz w:val="22"/>
          <w:szCs w:val="22"/>
        </w:rPr>
        <w:tab/>
      </w:r>
      <w:r w:rsidRPr="00513A40">
        <w:rPr>
          <w:sz w:val="22"/>
          <w:szCs w:val="22"/>
        </w:rPr>
        <w:tab/>
      </w:r>
      <w:r w:rsidRPr="00513A40">
        <w:rPr>
          <w:sz w:val="22"/>
          <w:szCs w:val="22"/>
        </w:rPr>
        <w:tab/>
      </w:r>
      <w:r w:rsidRPr="00513A40">
        <w:rPr>
          <w:sz w:val="22"/>
          <w:szCs w:val="22"/>
        </w:rPr>
        <w:tab/>
      </w:r>
      <w:r w:rsidRPr="00513A40">
        <w:rPr>
          <w:sz w:val="22"/>
          <w:szCs w:val="22"/>
        </w:rPr>
        <w:tab/>
      </w:r>
    </w:p>
    <w:p w14:paraId="27C4C7F4" w14:textId="77777777" w:rsidR="00CE292E" w:rsidRPr="00513A40" w:rsidRDefault="00CE292E" w:rsidP="00CE292E">
      <w:pPr>
        <w:pStyle w:val="CM2"/>
        <w:spacing w:line="240" w:lineRule="auto"/>
        <w:rPr>
          <w:b/>
          <w:sz w:val="22"/>
          <w:szCs w:val="22"/>
        </w:rPr>
      </w:pPr>
      <w:r w:rsidRPr="00727038">
        <w:rPr>
          <w:b/>
          <w:sz w:val="22"/>
          <w:szCs w:val="22"/>
        </w:rPr>
        <w:t>Improving Surgical Quality: Risks and Impact of Readmission</w:t>
      </w:r>
      <w:r w:rsidRPr="00513A40">
        <w:rPr>
          <w:b/>
          <w:sz w:val="22"/>
          <w:szCs w:val="22"/>
        </w:rPr>
        <w:t xml:space="preserve"> </w:t>
      </w:r>
    </w:p>
    <w:p w14:paraId="4337ABF7" w14:textId="77777777" w:rsidR="00CE292E" w:rsidRPr="00727038" w:rsidRDefault="00CE292E" w:rsidP="00CE292E">
      <w:pPr>
        <w:pStyle w:val="CM2"/>
        <w:rPr>
          <w:sz w:val="22"/>
          <w:szCs w:val="22"/>
        </w:rPr>
      </w:pPr>
      <w:r>
        <w:rPr>
          <w:sz w:val="22"/>
          <w:szCs w:val="22"/>
        </w:rPr>
        <w:t>The objectives of this project are first to e</w:t>
      </w:r>
      <w:r w:rsidRPr="00727038">
        <w:rPr>
          <w:sz w:val="22"/>
          <w:szCs w:val="22"/>
        </w:rPr>
        <w:t>valuate the contribution of patient, procedure, post-operative complication and system factors on readmission within 30 days of hospital discharge following surgery, and use these data to (a) develop and validate a readmission risk prediction tool that can be used real-time, (b) develop a classification of readmission reasons, and (c) explore processes of care linked with readmission.</w:t>
      </w:r>
    </w:p>
    <w:p w14:paraId="49CCF1C8" w14:textId="77777777" w:rsidR="00CE292E" w:rsidRPr="00513A40" w:rsidRDefault="00CE292E" w:rsidP="00CE292E">
      <w:pPr>
        <w:pStyle w:val="CM2"/>
        <w:rPr>
          <w:sz w:val="22"/>
          <w:szCs w:val="22"/>
        </w:rPr>
      </w:pPr>
      <w:r>
        <w:rPr>
          <w:sz w:val="22"/>
          <w:szCs w:val="22"/>
        </w:rPr>
        <w:t>Second, the study will provide an a</w:t>
      </w:r>
      <w:r w:rsidRPr="00727038">
        <w:rPr>
          <w:sz w:val="22"/>
          <w:szCs w:val="22"/>
        </w:rPr>
        <w:t>ssess</w:t>
      </w:r>
      <w:r>
        <w:rPr>
          <w:sz w:val="22"/>
          <w:szCs w:val="22"/>
        </w:rPr>
        <w:t>ment of</w:t>
      </w:r>
      <w:r w:rsidRPr="00727038">
        <w:rPr>
          <w:sz w:val="22"/>
          <w:szCs w:val="22"/>
        </w:rPr>
        <w:t xml:space="preserve"> potential patient factors not currently collected by VASQIP at discharge and determine their association with readmission.</w:t>
      </w:r>
      <w:r>
        <w:rPr>
          <w:sz w:val="22"/>
          <w:szCs w:val="22"/>
        </w:rPr>
        <w:t xml:space="preserve">  Finally, following the completion of Aims 1 and 2, categories of readmission following surgical procedures will be ranked for </w:t>
      </w:r>
      <w:r w:rsidRPr="00727038">
        <w:rPr>
          <w:sz w:val="22"/>
          <w:szCs w:val="22"/>
        </w:rPr>
        <w:t xml:space="preserve">(a) </w:t>
      </w:r>
      <w:r>
        <w:rPr>
          <w:sz w:val="22"/>
          <w:szCs w:val="22"/>
        </w:rPr>
        <w:t xml:space="preserve">potential for </w:t>
      </w:r>
      <w:r w:rsidRPr="00727038">
        <w:rPr>
          <w:sz w:val="22"/>
          <w:szCs w:val="22"/>
        </w:rPr>
        <w:t>preventab</w:t>
      </w:r>
      <w:r>
        <w:rPr>
          <w:sz w:val="22"/>
          <w:szCs w:val="22"/>
        </w:rPr>
        <w:t>ility</w:t>
      </w:r>
      <w:r w:rsidRPr="00727038">
        <w:rPr>
          <w:sz w:val="22"/>
          <w:szCs w:val="22"/>
        </w:rPr>
        <w:t xml:space="preserve"> and (b) appropriateness as a measure of surgical quality.</w:t>
      </w:r>
    </w:p>
    <w:p w14:paraId="56645155" w14:textId="77777777" w:rsidR="00CE292E" w:rsidRPr="00C21FF2" w:rsidRDefault="00CE292E" w:rsidP="00CE292E">
      <w:pPr>
        <w:pStyle w:val="Default"/>
        <w:rPr>
          <w:b/>
          <w:color w:val="auto"/>
          <w:sz w:val="22"/>
          <w:szCs w:val="22"/>
        </w:rPr>
      </w:pPr>
      <w:r w:rsidRPr="00C21FF2">
        <w:rPr>
          <w:b/>
          <w:color w:val="auto"/>
          <w:sz w:val="22"/>
          <w:szCs w:val="22"/>
        </w:rPr>
        <w:t xml:space="preserve">Role: Analyst </w:t>
      </w:r>
    </w:p>
    <w:p w14:paraId="15E91D42" w14:textId="77777777" w:rsidR="00CE292E" w:rsidRDefault="00CE292E" w:rsidP="00CE292E">
      <w:pPr>
        <w:pStyle w:val="CM2"/>
        <w:spacing w:line="240" w:lineRule="auto"/>
        <w:rPr>
          <w:sz w:val="22"/>
          <w:szCs w:val="22"/>
        </w:rPr>
      </w:pPr>
    </w:p>
    <w:p w14:paraId="2B141AC2" w14:textId="41AA3378" w:rsidR="00CE292E" w:rsidRPr="00513A40" w:rsidRDefault="00CE292E" w:rsidP="00CE292E">
      <w:pPr>
        <w:pStyle w:val="CM2"/>
        <w:spacing w:line="240" w:lineRule="auto"/>
        <w:rPr>
          <w:sz w:val="22"/>
          <w:szCs w:val="22"/>
        </w:rPr>
      </w:pPr>
      <w:r w:rsidRPr="00513A40">
        <w:rPr>
          <w:sz w:val="22"/>
          <w:szCs w:val="22"/>
        </w:rPr>
        <w:t xml:space="preserve">IIR 09-347-2 </w:t>
      </w:r>
      <w:r w:rsidRPr="00513A40">
        <w:rPr>
          <w:sz w:val="22"/>
          <w:szCs w:val="22"/>
        </w:rPr>
        <w:tab/>
      </w:r>
      <w:r w:rsidRPr="00513A40">
        <w:rPr>
          <w:sz w:val="22"/>
          <w:szCs w:val="22"/>
        </w:rPr>
        <w:tab/>
      </w:r>
      <w:r w:rsidRPr="00513A40">
        <w:rPr>
          <w:sz w:val="22"/>
          <w:szCs w:val="22"/>
        </w:rPr>
        <w:tab/>
      </w:r>
      <w:r w:rsidRPr="00513A40">
        <w:rPr>
          <w:sz w:val="22"/>
          <w:szCs w:val="22"/>
        </w:rPr>
        <w:tab/>
      </w:r>
      <w:r w:rsidRPr="00513A40">
        <w:rPr>
          <w:sz w:val="22"/>
          <w:szCs w:val="22"/>
        </w:rPr>
        <w:tab/>
        <w:t>Hawn (PI)</w:t>
      </w:r>
      <w:r w:rsidRPr="00513A40">
        <w:rPr>
          <w:sz w:val="22"/>
          <w:szCs w:val="22"/>
        </w:rPr>
        <w:tab/>
      </w:r>
      <w:r w:rsidRPr="00513A40">
        <w:rPr>
          <w:sz w:val="22"/>
          <w:szCs w:val="22"/>
        </w:rPr>
        <w:tab/>
      </w:r>
      <w:r w:rsidRPr="00513A40">
        <w:rPr>
          <w:sz w:val="22"/>
          <w:szCs w:val="22"/>
        </w:rPr>
        <w:tab/>
      </w:r>
      <w:r w:rsidRPr="00513A40">
        <w:rPr>
          <w:sz w:val="22"/>
          <w:szCs w:val="22"/>
        </w:rPr>
        <w:tab/>
        <w:t>10/01/</w:t>
      </w:r>
      <w:r w:rsidR="00A004DC">
        <w:rPr>
          <w:sz w:val="22"/>
          <w:szCs w:val="22"/>
        </w:rPr>
        <w:t>20</w:t>
      </w:r>
      <w:r w:rsidRPr="00513A40">
        <w:rPr>
          <w:sz w:val="22"/>
          <w:szCs w:val="22"/>
        </w:rPr>
        <w:t>10 - 0</w:t>
      </w:r>
      <w:r>
        <w:rPr>
          <w:sz w:val="22"/>
          <w:szCs w:val="22"/>
        </w:rPr>
        <w:t>9</w:t>
      </w:r>
      <w:r w:rsidRPr="00513A40">
        <w:rPr>
          <w:sz w:val="22"/>
          <w:szCs w:val="22"/>
        </w:rPr>
        <w:t>/3</w:t>
      </w:r>
      <w:r>
        <w:rPr>
          <w:sz w:val="22"/>
          <w:szCs w:val="22"/>
        </w:rPr>
        <w:t>0</w:t>
      </w:r>
      <w:r w:rsidRPr="00513A40">
        <w:rPr>
          <w:sz w:val="22"/>
          <w:szCs w:val="22"/>
        </w:rPr>
        <w:t>/</w:t>
      </w:r>
      <w:r w:rsidR="00A004DC">
        <w:rPr>
          <w:sz w:val="22"/>
          <w:szCs w:val="22"/>
        </w:rPr>
        <w:t>20</w:t>
      </w:r>
      <w:r w:rsidRPr="00513A40">
        <w:rPr>
          <w:sz w:val="22"/>
          <w:szCs w:val="22"/>
        </w:rPr>
        <w:t>1</w:t>
      </w:r>
      <w:r>
        <w:rPr>
          <w:sz w:val="22"/>
          <w:szCs w:val="22"/>
        </w:rPr>
        <w:t>4</w:t>
      </w:r>
      <w:r w:rsidRPr="00513A40">
        <w:rPr>
          <w:sz w:val="22"/>
          <w:szCs w:val="22"/>
        </w:rPr>
        <w:t xml:space="preserve">  </w:t>
      </w:r>
      <w:r w:rsidRPr="00513A40">
        <w:rPr>
          <w:sz w:val="22"/>
          <w:szCs w:val="22"/>
        </w:rPr>
        <w:tab/>
      </w:r>
      <w:r w:rsidRPr="00513A40">
        <w:rPr>
          <w:sz w:val="22"/>
          <w:szCs w:val="22"/>
        </w:rPr>
        <w:tab/>
      </w:r>
      <w:r w:rsidRPr="00513A40">
        <w:rPr>
          <w:sz w:val="22"/>
          <w:szCs w:val="22"/>
        </w:rPr>
        <w:tab/>
      </w:r>
      <w:r w:rsidRPr="00513A40">
        <w:rPr>
          <w:sz w:val="22"/>
          <w:szCs w:val="22"/>
        </w:rPr>
        <w:tab/>
      </w:r>
    </w:p>
    <w:p w14:paraId="3D535DA4" w14:textId="77777777" w:rsidR="00CE292E" w:rsidRPr="00513A40" w:rsidRDefault="00CE292E" w:rsidP="00CE292E">
      <w:pPr>
        <w:pStyle w:val="CM2"/>
        <w:spacing w:line="240" w:lineRule="auto"/>
        <w:rPr>
          <w:sz w:val="22"/>
          <w:szCs w:val="22"/>
        </w:rPr>
      </w:pPr>
      <w:r w:rsidRPr="00513A40">
        <w:rPr>
          <w:sz w:val="22"/>
          <w:szCs w:val="22"/>
        </w:rPr>
        <w:t xml:space="preserve">VA HSR&amp;D </w:t>
      </w:r>
      <w:r w:rsidRPr="00513A40">
        <w:rPr>
          <w:sz w:val="22"/>
          <w:szCs w:val="22"/>
        </w:rPr>
        <w:tab/>
      </w:r>
      <w:r w:rsidRPr="00513A40">
        <w:rPr>
          <w:sz w:val="22"/>
          <w:szCs w:val="22"/>
        </w:rPr>
        <w:tab/>
      </w:r>
      <w:r w:rsidRPr="00513A40">
        <w:rPr>
          <w:sz w:val="22"/>
          <w:szCs w:val="22"/>
        </w:rPr>
        <w:tab/>
      </w:r>
      <w:r w:rsidRPr="00513A40">
        <w:rPr>
          <w:sz w:val="22"/>
          <w:szCs w:val="22"/>
        </w:rPr>
        <w:tab/>
      </w:r>
      <w:r w:rsidRPr="00513A40">
        <w:rPr>
          <w:sz w:val="22"/>
          <w:szCs w:val="22"/>
        </w:rPr>
        <w:tab/>
      </w:r>
      <w:r w:rsidRPr="00513A40">
        <w:rPr>
          <w:sz w:val="22"/>
          <w:szCs w:val="22"/>
        </w:rPr>
        <w:tab/>
      </w:r>
    </w:p>
    <w:p w14:paraId="423C3C43" w14:textId="77777777" w:rsidR="00CE292E" w:rsidRPr="00513A40" w:rsidRDefault="00CE292E" w:rsidP="00CE292E">
      <w:pPr>
        <w:pStyle w:val="CM2"/>
        <w:spacing w:line="240" w:lineRule="auto"/>
        <w:rPr>
          <w:b/>
          <w:sz w:val="22"/>
          <w:szCs w:val="22"/>
        </w:rPr>
      </w:pPr>
      <w:r w:rsidRPr="00513A40">
        <w:rPr>
          <w:b/>
          <w:sz w:val="22"/>
          <w:szCs w:val="22"/>
        </w:rPr>
        <w:t xml:space="preserve">Cardiac Risk and Stent Effect on Adverse Perioperative Outcomes </w:t>
      </w:r>
    </w:p>
    <w:p w14:paraId="1BE0AE75" w14:textId="77777777" w:rsidR="00CE292E" w:rsidRPr="00513A40" w:rsidRDefault="00CE292E" w:rsidP="00CE292E">
      <w:pPr>
        <w:pStyle w:val="CM2"/>
        <w:spacing w:line="240" w:lineRule="auto"/>
        <w:rPr>
          <w:sz w:val="22"/>
          <w:szCs w:val="22"/>
        </w:rPr>
      </w:pPr>
      <w:r w:rsidRPr="00513A40">
        <w:rPr>
          <w:sz w:val="22"/>
          <w:szCs w:val="22"/>
        </w:rPr>
        <w:t xml:space="preserve">This study aims to determine the rate of subsequent surgical procedures in patients after cardiac stent implantation and to assess whether a) time between cardiac stent and surgical procedure, and b) type of cardiac stent is associated with adverse perioperative events compared with controls. We will also examine current beliefs and practices of cardiologists, anesthesiologists and surgeons regarding the risk of stent thrombosis and bleeding in the peri-operative period and evaluate whether surgery performed within the current guidelines is safer than those performed outside the guidelines. </w:t>
      </w:r>
    </w:p>
    <w:p w14:paraId="1591895C" w14:textId="77777777" w:rsidR="00CE292E" w:rsidRPr="00C21FF2" w:rsidRDefault="00CE292E" w:rsidP="00CE292E">
      <w:pPr>
        <w:pStyle w:val="Default"/>
        <w:rPr>
          <w:b/>
          <w:color w:val="auto"/>
          <w:sz w:val="22"/>
          <w:szCs w:val="22"/>
        </w:rPr>
      </w:pPr>
      <w:r w:rsidRPr="00C21FF2">
        <w:rPr>
          <w:b/>
          <w:color w:val="auto"/>
          <w:sz w:val="22"/>
          <w:szCs w:val="22"/>
        </w:rPr>
        <w:t xml:space="preserve">Role: Analyst </w:t>
      </w:r>
    </w:p>
    <w:p w14:paraId="0B4F5382" w14:textId="77777777" w:rsidR="00CE292E" w:rsidRPr="00513A40" w:rsidRDefault="00CE292E" w:rsidP="00CE292E">
      <w:pPr>
        <w:pStyle w:val="Default"/>
        <w:rPr>
          <w:b/>
          <w:sz w:val="22"/>
          <w:szCs w:val="22"/>
        </w:rPr>
      </w:pPr>
    </w:p>
    <w:p w14:paraId="7D4367D5" w14:textId="5697663F" w:rsidR="00CE292E" w:rsidRPr="00513A40" w:rsidRDefault="00CE292E" w:rsidP="00CE292E">
      <w:pPr>
        <w:pStyle w:val="CM10"/>
        <w:spacing w:line="253" w:lineRule="atLeast"/>
        <w:rPr>
          <w:color w:val="000000"/>
          <w:sz w:val="22"/>
          <w:szCs w:val="22"/>
        </w:rPr>
      </w:pPr>
      <w:r w:rsidRPr="00513A40">
        <w:rPr>
          <w:color w:val="000000"/>
          <w:sz w:val="22"/>
          <w:szCs w:val="22"/>
        </w:rPr>
        <w:t xml:space="preserve">IIR 03-247-1 </w:t>
      </w:r>
      <w:r w:rsidRPr="00513A40">
        <w:rPr>
          <w:color w:val="000000"/>
          <w:sz w:val="22"/>
          <w:szCs w:val="22"/>
        </w:rPr>
        <w:tab/>
      </w:r>
      <w:r w:rsidRPr="00513A40">
        <w:rPr>
          <w:color w:val="000000"/>
          <w:sz w:val="22"/>
          <w:szCs w:val="22"/>
        </w:rPr>
        <w:tab/>
      </w:r>
      <w:r w:rsidRPr="00513A40">
        <w:rPr>
          <w:color w:val="000000"/>
          <w:sz w:val="22"/>
          <w:szCs w:val="22"/>
        </w:rPr>
        <w:tab/>
      </w:r>
      <w:r w:rsidRPr="00513A40">
        <w:rPr>
          <w:color w:val="000000"/>
          <w:sz w:val="22"/>
          <w:szCs w:val="22"/>
        </w:rPr>
        <w:tab/>
      </w:r>
      <w:r w:rsidRPr="00513A40">
        <w:rPr>
          <w:color w:val="000000"/>
          <w:sz w:val="22"/>
          <w:szCs w:val="22"/>
        </w:rPr>
        <w:tab/>
        <w:t>Hawn (</w:t>
      </w:r>
      <w:proofErr w:type="gramStart"/>
      <w:r w:rsidRPr="00513A40">
        <w:rPr>
          <w:color w:val="000000"/>
          <w:sz w:val="22"/>
          <w:szCs w:val="22"/>
        </w:rPr>
        <w:t xml:space="preserve">PI)   </w:t>
      </w:r>
      <w:proofErr w:type="gramEnd"/>
      <w:r w:rsidRPr="00513A40">
        <w:rPr>
          <w:color w:val="000000"/>
          <w:sz w:val="22"/>
          <w:szCs w:val="22"/>
        </w:rPr>
        <w:t xml:space="preserve"> </w:t>
      </w:r>
      <w:r w:rsidRPr="00513A40">
        <w:rPr>
          <w:color w:val="000000"/>
          <w:sz w:val="22"/>
          <w:szCs w:val="22"/>
        </w:rPr>
        <w:tab/>
      </w:r>
      <w:r w:rsidRPr="00513A40">
        <w:rPr>
          <w:color w:val="000000"/>
          <w:sz w:val="22"/>
          <w:szCs w:val="22"/>
        </w:rPr>
        <w:tab/>
      </w:r>
      <w:r>
        <w:rPr>
          <w:color w:val="000000"/>
          <w:sz w:val="22"/>
          <w:szCs w:val="22"/>
        </w:rPr>
        <w:tab/>
      </w:r>
      <w:r w:rsidRPr="00513A40">
        <w:rPr>
          <w:color w:val="000000"/>
          <w:sz w:val="22"/>
          <w:szCs w:val="22"/>
        </w:rPr>
        <w:t>07/01/</w:t>
      </w:r>
      <w:r w:rsidR="00A004DC">
        <w:rPr>
          <w:color w:val="000000"/>
          <w:sz w:val="22"/>
          <w:szCs w:val="22"/>
        </w:rPr>
        <w:t>20</w:t>
      </w:r>
      <w:r w:rsidRPr="00513A40">
        <w:rPr>
          <w:color w:val="000000"/>
          <w:sz w:val="22"/>
          <w:szCs w:val="22"/>
        </w:rPr>
        <w:t>04 -12/31/</w:t>
      </w:r>
      <w:r w:rsidR="00A004DC">
        <w:rPr>
          <w:color w:val="000000"/>
          <w:sz w:val="22"/>
          <w:szCs w:val="22"/>
        </w:rPr>
        <w:t>20</w:t>
      </w:r>
      <w:r w:rsidRPr="00513A40">
        <w:rPr>
          <w:color w:val="000000"/>
          <w:sz w:val="22"/>
          <w:szCs w:val="22"/>
        </w:rPr>
        <w:t xml:space="preserve">09 </w:t>
      </w:r>
    </w:p>
    <w:p w14:paraId="1DF34CC5" w14:textId="77777777" w:rsidR="00CE292E" w:rsidRDefault="00CE292E" w:rsidP="00CE292E">
      <w:pPr>
        <w:pStyle w:val="CM10"/>
        <w:spacing w:line="253" w:lineRule="atLeast"/>
        <w:rPr>
          <w:color w:val="000000"/>
          <w:sz w:val="22"/>
          <w:szCs w:val="22"/>
        </w:rPr>
      </w:pPr>
      <w:r w:rsidRPr="00513A40">
        <w:rPr>
          <w:color w:val="000000"/>
          <w:sz w:val="22"/>
          <w:szCs w:val="22"/>
        </w:rPr>
        <w:t xml:space="preserve">VHA HSR&amp;D </w:t>
      </w:r>
    </w:p>
    <w:p w14:paraId="19D4D4BF" w14:textId="77777777" w:rsidR="00CE292E" w:rsidRPr="0046310C" w:rsidRDefault="00CE292E" w:rsidP="00CE292E">
      <w:pPr>
        <w:pStyle w:val="CM10"/>
        <w:spacing w:line="253" w:lineRule="atLeast"/>
        <w:rPr>
          <w:b/>
          <w:color w:val="000000"/>
          <w:sz w:val="22"/>
          <w:szCs w:val="22"/>
        </w:rPr>
      </w:pPr>
      <w:r w:rsidRPr="0046310C">
        <w:rPr>
          <w:b/>
          <w:color w:val="000000"/>
          <w:sz w:val="22"/>
          <w:szCs w:val="22"/>
        </w:rPr>
        <w:t xml:space="preserve">Mesh Repair for Ventral Hernia: Which Rate is Right? </w:t>
      </w:r>
    </w:p>
    <w:p w14:paraId="14F25930" w14:textId="77777777" w:rsidR="00CE292E" w:rsidRPr="00513A40" w:rsidRDefault="00CE292E" w:rsidP="00CE292E">
      <w:pPr>
        <w:pStyle w:val="CM10"/>
        <w:spacing w:line="253" w:lineRule="atLeast"/>
        <w:rPr>
          <w:color w:val="000000"/>
          <w:sz w:val="22"/>
          <w:szCs w:val="22"/>
        </w:rPr>
      </w:pPr>
      <w:r w:rsidRPr="00513A40">
        <w:rPr>
          <w:color w:val="000000"/>
          <w:sz w:val="22"/>
          <w:szCs w:val="22"/>
        </w:rPr>
        <w:t xml:space="preserve">The aim of this project is 1) to determine outcomes for the various ventral hernia repairs in a large VA sample and 2) use this data to develop an educational intervention for surgeons in the VA system. </w:t>
      </w:r>
    </w:p>
    <w:p w14:paraId="305449F3" w14:textId="77777777" w:rsidR="00CE292E" w:rsidRPr="00C21FF2" w:rsidRDefault="00CE292E" w:rsidP="00CE292E">
      <w:pPr>
        <w:pStyle w:val="CM10"/>
        <w:spacing w:line="253" w:lineRule="atLeast"/>
        <w:rPr>
          <w:b/>
          <w:color w:val="000000"/>
          <w:sz w:val="22"/>
          <w:szCs w:val="22"/>
        </w:rPr>
      </w:pPr>
      <w:r w:rsidRPr="00C21FF2">
        <w:rPr>
          <w:b/>
          <w:color w:val="000000"/>
          <w:sz w:val="22"/>
          <w:szCs w:val="22"/>
        </w:rPr>
        <w:t xml:space="preserve">Role: Analyst </w:t>
      </w: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390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7"/>
  </w:num>
  <w:num w:numId="15">
    <w:abstractNumId w:val="15"/>
  </w:num>
  <w:num w:numId="16">
    <w:abstractNumId w:val="16"/>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04DC"/>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D5515"/>
    <w:rsid w:val="00CE0951"/>
    <w:rsid w:val="00CE292E"/>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CM10">
    <w:name w:val="CM10"/>
    <w:basedOn w:val="Normal"/>
    <w:next w:val="Normal"/>
    <w:uiPriority w:val="99"/>
    <w:rsid w:val="00CE292E"/>
    <w:pPr>
      <w:widowControl w:val="0"/>
      <w:adjustRightInd w:val="0"/>
    </w:pPr>
    <w:rPr>
      <w:rFonts w:cs="Arial"/>
      <w:sz w:val="24"/>
    </w:rPr>
  </w:style>
  <w:style w:type="paragraph" w:customStyle="1" w:styleId="CM2">
    <w:name w:val="CM2"/>
    <w:basedOn w:val="Normal"/>
    <w:next w:val="Normal"/>
    <w:uiPriority w:val="99"/>
    <w:rsid w:val="00CE292E"/>
    <w:pPr>
      <w:widowControl w:val="0"/>
      <w:adjustRightInd w:val="0"/>
      <w:spacing w:line="253" w:lineRule="atLeast"/>
    </w:pPr>
    <w:rPr>
      <w:rFonts w:cs="Arial"/>
      <w:sz w:val="24"/>
    </w:rPr>
  </w:style>
  <w:style w:type="paragraph" w:customStyle="1" w:styleId="Default">
    <w:name w:val="Default"/>
    <w:rsid w:val="00CE292E"/>
    <w:pPr>
      <w:widowControl w:val="0"/>
      <w:autoSpaceDE w:val="0"/>
      <w:autoSpaceDN w:val="0"/>
      <w:adjustRightInd w:val="0"/>
    </w:pPr>
    <w:rPr>
      <w:rFonts w:ascii="Arial" w:hAnsi="Arial" w:cs="Arial"/>
      <w:color w:val="000000"/>
      <w:sz w:val="24"/>
      <w:szCs w:val="24"/>
    </w:rPr>
  </w:style>
  <w:style w:type="paragraph" w:customStyle="1" w:styleId="List1stLevel">
    <w:name w:val="List 1st Level"/>
    <w:link w:val="List1stLevelChar1"/>
    <w:uiPriority w:val="99"/>
    <w:rsid w:val="00CD5515"/>
    <w:pPr>
      <w:tabs>
        <w:tab w:val="left" w:pos="450"/>
      </w:tabs>
      <w:spacing w:before="80" w:after="80" w:line="240" w:lineRule="atLeast"/>
      <w:ind w:left="446" w:hanging="446"/>
    </w:pPr>
    <w:rPr>
      <w:rFonts w:ascii="Georgia" w:eastAsia="MS Mincho" w:hAnsi="Georgia"/>
      <w:snapToGrid w:val="0"/>
      <w:sz w:val="22"/>
      <w:szCs w:val="22"/>
    </w:rPr>
  </w:style>
  <w:style w:type="character" w:customStyle="1" w:styleId="List1stLevelChar1">
    <w:name w:val="List 1st Level Char1"/>
    <w:basedOn w:val="DefaultParagraphFont"/>
    <w:link w:val="List1stLevel"/>
    <w:uiPriority w:val="99"/>
    <w:rsid w:val="00CD5515"/>
    <w:rPr>
      <w:rFonts w:ascii="Georgia" w:eastAsia="MS Mincho" w:hAnsi="Georgia"/>
      <w:snapToGrid w:val="0"/>
      <w:sz w:val="22"/>
      <w:szCs w:val="22"/>
    </w:rPr>
  </w:style>
  <w:style w:type="paragraph" w:styleId="ListParagraph">
    <w:name w:val="List Paragraph"/>
    <w:basedOn w:val="Normal"/>
    <w:uiPriority w:val="34"/>
    <w:qFormat/>
    <w:rsid w:val="00CD5515"/>
    <w:pPr>
      <w:autoSpaceDE/>
      <w:autoSpaceDN/>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8123">
      <w:bodyDiv w:val="1"/>
      <w:marLeft w:val="0"/>
      <w:marRight w:val="0"/>
      <w:marTop w:val="0"/>
      <w:marBottom w:val="0"/>
      <w:divBdr>
        <w:top w:val="none" w:sz="0" w:space="0" w:color="auto"/>
        <w:left w:val="none" w:sz="0" w:space="0" w:color="auto"/>
        <w:bottom w:val="none" w:sz="0" w:space="0" w:color="auto"/>
        <w:right w:val="none" w:sz="0" w:space="0" w:color="auto"/>
      </w:divBdr>
    </w:div>
    <w:div w:id="19889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purl.org/dc/terms/"/>
    <ds:schemaRef ds:uri="http://purl.org/dc/dcmitype/"/>
    <ds:schemaRef ds:uri="http://schemas.microsoft.com/office/2006/metadata/properties"/>
    <ds:schemaRef ds:uri="90cc9ed5-125c-488b-a883-4b2061b7b65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1477</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10353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Graham, Laura A.</cp:lastModifiedBy>
  <cp:revision>3</cp:revision>
  <cp:lastPrinted>2011-03-11T19:43:00Z</cp:lastPrinted>
  <dcterms:created xsi:type="dcterms:W3CDTF">2017-12-27T19:45:00Z</dcterms:created>
  <dcterms:modified xsi:type="dcterms:W3CDTF">2017-12-27T19:47:00Z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